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5" w:rsidRDefault="008078E2" w:rsidP="00BC5479">
      <w:pPr>
        <w:spacing w:before="0" w:after="0" w:line="240" w:lineRule="auto"/>
        <w:ind w:left="720" w:hanging="720"/>
        <w:jc w:val="right"/>
        <w:rPr>
          <w:sz w:val="20"/>
        </w:rPr>
      </w:pPr>
      <w:r>
        <w:rPr>
          <w:sz w:val="20"/>
        </w:rPr>
        <w:t>“</w:t>
      </w:r>
      <w:r w:rsidR="00FE5865">
        <w:rPr>
          <w:sz w:val="20"/>
        </w:rPr>
        <w:t>Work</w:t>
      </w:r>
      <w:r w:rsidR="00B71607" w:rsidRPr="00B71607">
        <w:rPr>
          <w:sz w:val="20"/>
        </w:rPr>
        <w:t xml:space="preserve"> </w:t>
      </w:r>
      <w:r w:rsidR="00FE5865">
        <w:rPr>
          <w:sz w:val="20"/>
        </w:rPr>
        <w:t>in</w:t>
      </w:r>
      <w:r w:rsidR="00B71607" w:rsidRPr="00B71607">
        <w:rPr>
          <w:sz w:val="20"/>
        </w:rPr>
        <w:t xml:space="preserve"> </w:t>
      </w:r>
      <w:r w:rsidR="00FE5865">
        <w:rPr>
          <w:sz w:val="20"/>
        </w:rPr>
        <w:t>Progress</w:t>
      </w:r>
      <w:r w:rsidR="00BC5479" w:rsidRPr="00182B81">
        <w:rPr>
          <w:sz w:val="20"/>
        </w:rPr>
        <w:t>:</w:t>
      </w:r>
      <w:r w:rsidR="00B71607" w:rsidRPr="00B71607">
        <w:rPr>
          <w:sz w:val="20"/>
        </w:rPr>
        <w:t xml:space="preserve"> </w:t>
      </w:r>
    </w:p>
    <w:p w:rsidR="00BC5479" w:rsidRPr="00182B81" w:rsidRDefault="00BC5479" w:rsidP="00BC5479">
      <w:pPr>
        <w:spacing w:before="0" w:after="0" w:line="240" w:lineRule="auto"/>
        <w:ind w:left="720" w:hanging="720"/>
        <w:jc w:val="right"/>
        <w:rPr>
          <w:sz w:val="20"/>
        </w:rPr>
      </w:pPr>
      <w:r w:rsidRPr="00182B81">
        <w:rPr>
          <w:sz w:val="20"/>
        </w:rPr>
        <w:t>do</w:t>
      </w:r>
      <w:r w:rsidR="00B71607" w:rsidRPr="00B71607">
        <w:rPr>
          <w:sz w:val="20"/>
        </w:rPr>
        <w:t xml:space="preserve"> </w:t>
      </w:r>
      <w:r w:rsidRPr="00182B81">
        <w:rPr>
          <w:sz w:val="20"/>
        </w:rPr>
        <w:t>not</w:t>
      </w:r>
      <w:r w:rsidR="00B71607" w:rsidRPr="00B71607">
        <w:rPr>
          <w:sz w:val="20"/>
        </w:rPr>
        <w:t xml:space="preserve"> </w:t>
      </w:r>
      <w:r w:rsidRPr="00182B81">
        <w:rPr>
          <w:sz w:val="20"/>
        </w:rPr>
        <w:t>quote,</w:t>
      </w:r>
    </w:p>
    <w:p w:rsidR="00BC5479" w:rsidRPr="00182B81" w:rsidRDefault="00182B81" w:rsidP="00182B81">
      <w:pPr>
        <w:tabs>
          <w:tab w:val="left" w:pos="7546"/>
          <w:tab w:val="right" w:pos="9360"/>
        </w:tabs>
        <w:spacing w:before="0" w:after="0" w:line="240" w:lineRule="auto"/>
        <w:rPr>
          <w:sz w:val="20"/>
        </w:rPr>
      </w:pPr>
      <w:r w:rsidRPr="00182B81">
        <w:rPr>
          <w:sz w:val="20"/>
        </w:rPr>
        <w:tab/>
      </w:r>
      <w:r w:rsidRPr="00182B81">
        <w:rPr>
          <w:sz w:val="20"/>
        </w:rPr>
        <w:tab/>
      </w:r>
      <w:r w:rsidR="00BC5479" w:rsidRPr="00182B81">
        <w:rPr>
          <w:sz w:val="20"/>
        </w:rPr>
        <w:t>unless</w:t>
      </w:r>
      <w:r w:rsidR="00B71607" w:rsidRPr="00B71607">
        <w:rPr>
          <w:sz w:val="20"/>
        </w:rPr>
        <w:t xml:space="preserve"> </w:t>
      </w:r>
      <w:r w:rsidR="00BC5479" w:rsidRPr="00182B81">
        <w:rPr>
          <w:sz w:val="20"/>
        </w:rPr>
        <w:t>favorably.</w:t>
      </w:r>
    </w:p>
    <w:p w:rsidR="002E2CC5" w:rsidRDefault="00D4213A" w:rsidP="006313C9">
      <w:pPr>
        <w:jc w:val="center"/>
        <w:rPr>
          <w:sz w:val="32"/>
        </w:rPr>
      </w:pPr>
      <w:r w:rsidRPr="00D4213A">
        <w:rPr>
          <w:noProof/>
          <w:sz w:val="32"/>
        </w:rPr>
        <w:t>Harrod</w:t>
      </w:r>
      <w:r w:rsidR="007311C6">
        <w:rPr>
          <w:sz w:val="32"/>
        </w:rPr>
        <w:t>’s</w:t>
      </w:r>
      <w:r w:rsidR="00B71607" w:rsidRPr="00B71607">
        <w:rPr>
          <w:sz w:val="32"/>
        </w:rPr>
        <w:t xml:space="preserve"> </w:t>
      </w:r>
      <w:r w:rsidR="00FE5865">
        <w:rPr>
          <w:sz w:val="32"/>
        </w:rPr>
        <w:t>Dynamics</w:t>
      </w:r>
      <w:r w:rsidR="00B71607" w:rsidRPr="00B71607">
        <w:rPr>
          <w:sz w:val="32"/>
        </w:rPr>
        <w:t xml:space="preserve"> </w:t>
      </w:r>
      <w:r w:rsidR="009D4790">
        <w:rPr>
          <w:i/>
          <w:sz w:val="32"/>
        </w:rPr>
        <w:t>vs.</w:t>
      </w:r>
      <w:r w:rsidR="00B71607" w:rsidRPr="00B71607">
        <w:rPr>
          <w:sz w:val="32"/>
        </w:rPr>
        <w:t xml:space="preserve"> </w:t>
      </w:r>
      <w:r w:rsidR="00FA7084">
        <w:rPr>
          <w:sz w:val="32"/>
        </w:rPr>
        <w:t>Neoclassical</w:t>
      </w:r>
      <w:r w:rsidR="00B71607" w:rsidRPr="00B71607">
        <w:rPr>
          <w:sz w:val="32"/>
        </w:rPr>
        <w:t xml:space="preserve"> </w:t>
      </w:r>
      <w:r w:rsidR="009D4790">
        <w:rPr>
          <w:sz w:val="32"/>
        </w:rPr>
        <w:t>Growth Theory</w:t>
      </w:r>
    </w:p>
    <w:p w:rsidR="006313C9" w:rsidRDefault="006313C9">
      <w:pPr>
        <w:pStyle w:val="PlainText"/>
        <w:jc w:val="center"/>
        <w:rPr>
          <w:rFonts w:ascii="Times New Roman" w:hAnsi="Times New Roman"/>
          <w:sz w:val="24"/>
        </w:rPr>
      </w:pP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4"/>
          <w:szCs w:val="24"/>
        </w:rPr>
      </w:pPr>
      <w:r w:rsidRPr="006313C9">
        <w:rPr>
          <w:rFonts w:ascii="Cambria" w:hAnsi="Cambria"/>
          <w:sz w:val="24"/>
          <w:szCs w:val="24"/>
        </w:rPr>
        <w:t>James</w:t>
      </w:r>
      <w:r w:rsidR="00B71607" w:rsidRPr="00B71607">
        <w:rPr>
          <w:rFonts w:ascii="Cambria" w:hAnsi="Cambria"/>
          <w:sz w:val="24"/>
          <w:szCs w:val="24"/>
        </w:rPr>
        <w:t xml:space="preserve"> </w:t>
      </w:r>
      <w:r w:rsidRPr="006313C9">
        <w:rPr>
          <w:rFonts w:ascii="Cambria" w:hAnsi="Cambria"/>
          <w:sz w:val="24"/>
          <w:szCs w:val="24"/>
        </w:rPr>
        <w:t>G.</w:t>
      </w:r>
      <w:r w:rsidR="00B71607" w:rsidRPr="00B71607">
        <w:rPr>
          <w:rFonts w:ascii="Cambria" w:hAnsi="Cambria"/>
          <w:sz w:val="24"/>
          <w:szCs w:val="24"/>
        </w:rPr>
        <w:t xml:space="preserve"> </w:t>
      </w:r>
      <w:r w:rsidRPr="006313C9">
        <w:rPr>
          <w:rFonts w:ascii="Cambria" w:hAnsi="Cambria"/>
          <w:sz w:val="24"/>
          <w:szCs w:val="24"/>
        </w:rPr>
        <w:t>Devine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Professor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of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Economics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University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Hall,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Suite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4200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Loyola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Marymount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University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One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LMU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Drive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Los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Angeles,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CA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90045-2659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USA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office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phone: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310/338-2948;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FAX: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310/338-1950</w:t>
      </w:r>
    </w:p>
    <w:p w:rsidR="006313C9" w:rsidRPr="006313C9" w:rsidRDefault="006313C9" w:rsidP="008D2ED1">
      <w:pPr>
        <w:pStyle w:val="PlainText"/>
        <w:jc w:val="center"/>
        <w:rPr>
          <w:rFonts w:ascii="Cambria" w:hAnsi="Cambria"/>
          <w:sz w:val="22"/>
          <w:szCs w:val="24"/>
        </w:rPr>
      </w:pPr>
      <w:r w:rsidRPr="006313C9">
        <w:rPr>
          <w:rFonts w:ascii="Cambria" w:hAnsi="Cambria"/>
          <w:sz w:val="22"/>
          <w:szCs w:val="24"/>
        </w:rPr>
        <w:t>e-mail: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hyperlink r:id="rId9" w:history="1">
        <w:r w:rsidRPr="006313C9">
          <w:rPr>
            <w:rStyle w:val="Hyperlink"/>
            <w:rFonts w:ascii="Cambria" w:hAnsi="Cambria"/>
            <w:sz w:val="22"/>
          </w:rPr>
          <w:t>jdevine@lmu.edu</w:t>
        </w:r>
      </w:hyperlink>
      <w:r w:rsidR="00B71607" w:rsidRPr="00B71607">
        <w:rPr>
          <w:rFonts w:ascii="Cambria" w:hAnsi="Cambria"/>
          <w:sz w:val="22"/>
          <w:szCs w:val="24"/>
        </w:rPr>
        <w:t xml:space="preserve"> </w:t>
      </w:r>
      <w:r w:rsidRPr="006313C9">
        <w:rPr>
          <w:rFonts w:ascii="Cambria" w:hAnsi="Cambria"/>
          <w:sz w:val="22"/>
          <w:szCs w:val="24"/>
        </w:rPr>
        <w:t>&amp;</w:t>
      </w:r>
      <w:r w:rsidR="00B71607" w:rsidRPr="00B71607">
        <w:rPr>
          <w:rFonts w:ascii="Cambria" w:hAnsi="Cambria"/>
          <w:sz w:val="22"/>
          <w:szCs w:val="24"/>
        </w:rPr>
        <w:t xml:space="preserve"> </w:t>
      </w:r>
      <w:hyperlink r:id="rId10" w:history="1">
        <w:r w:rsidRPr="006313C9">
          <w:rPr>
            <w:rStyle w:val="Hyperlink"/>
            <w:rFonts w:ascii="Cambria" w:hAnsi="Cambria"/>
            <w:sz w:val="22"/>
          </w:rPr>
          <w:t>jdevine03@gmail.com</w:t>
        </w:r>
      </w:hyperlink>
      <w:r w:rsidR="00B71607" w:rsidRPr="00B71607">
        <w:rPr>
          <w:rFonts w:ascii="Cambria" w:hAnsi="Cambria"/>
          <w:sz w:val="22"/>
          <w:szCs w:val="24"/>
        </w:rPr>
        <w:t xml:space="preserve"> </w:t>
      </w:r>
    </w:p>
    <w:p w:rsidR="006313C9" w:rsidRPr="00B31DBA" w:rsidRDefault="006313C9" w:rsidP="008D2ED1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2E2CC5" w:rsidRDefault="009B4350" w:rsidP="00DE205A">
      <w:pPr>
        <w:pStyle w:val="H2"/>
        <w:outlineLvl w:val="0"/>
      </w:pPr>
      <w:bookmarkStart w:id="0" w:name="_Ref409614490"/>
      <w:r w:rsidRPr="009D0D03">
        <w:rPr>
          <w:sz w:val="28"/>
        </w:rPr>
        <w:t>Background</w:t>
      </w:r>
      <w:r w:rsidR="002E2CC5">
        <w:t>.</w:t>
      </w:r>
      <w:bookmarkEnd w:id="0"/>
      <w:r w:rsidR="00B71607" w:rsidRPr="00B71607">
        <w:t xml:space="preserve"> </w:t>
      </w:r>
    </w:p>
    <w:p w:rsidR="00FB4485" w:rsidRDefault="006B3DED" w:rsidP="006B3DED">
      <w:pPr>
        <w:spacing w:line="240" w:lineRule="auto"/>
      </w:pPr>
      <w:r>
        <w:t>The</w:t>
      </w:r>
      <w:r w:rsidR="00B71607" w:rsidRPr="00B71607">
        <w:t xml:space="preserve"> </w:t>
      </w:r>
      <w:r w:rsidR="00255C5A">
        <w:t>aim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paper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translate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macroeconomic</w:t>
      </w:r>
      <w:r w:rsidR="00B71607" w:rsidRPr="00B71607">
        <w:t xml:space="preserve"> </w:t>
      </w:r>
      <w:r>
        <w:t>model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my</w:t>
      </w:r>
      <w:r w:rsidR="00B71607" w:rsidRPr="00B71607">
        <w:t xml:space="preserve"> </w:t>
      </w:r>
      <w:r>
        <w:t>chapter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Bruce</w:t>
      </w:r>
      <w:r w:rsidR="00B71607" w:rsidRPr="00B71607">
        <w:t xml:space="preserve"> </w:t>
      </w:r>
      <w:r>
        <w:rPr>
          <w:noProof/>
        </w:rPr>
        <w:t>Kaufman’s</w:t>
      </w:r>
      <w:r w:rsidR="00B71607" w:rsidRPr="00B71607">
        <w:t xml:space="preserve"> </w:t>
      </w:r>
      <w:r>
        <w:t>book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static</w:t>
      </w:r>
      <w:r w:rsidR="00B71607" w:rsidRPr="00B71607">
        <w:t xml:space="preserve"> </w:t>
      </w:r>
      <w:r>
        <w:t>context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dynamic</w:t>
      </w:r>
      <w:r w:rsidR="00B71607" w:rsidRPr="00B71607">
        <w:t xml:space="preserve"> </w:t>
      </w:r>
      <w:r>
        <w:t>one.</w:t>
      </w:r>
      <w:r w:rsidR="00B71607" w:rsidRPr="00B71607">
        <w:t xml:space="preserve"> </w:t>
      </w:r>
      <w:r>
        <w:t>My</w:t>
      </w:r>
      <w:r w:rsidR="00B71607" w:rsidRPr="00B71607">
        <w:t xml:space="preserve"> </w:t>
      </w:r>
      <w:r>
        <w:t>model,</w:t>
      </w:r>
      <w:r w:rsidR="00B71607" w:rsidRPr="00B71607">
        <w:t xml:space="preserve"> </w:t>
      </w:r>
      <w:r>
        <w:t>embarrassingly,</w:t>
      </w:r>
      <w:r w:rsidR="00B71607" w:rsidRPr="00B71607">
        <w:t xml:space="preserve"> </w:t>
      </w:r>
      <w:r>
        <w:t>a</w:t>
      </w:r>
      <w:r>
        <w:t>s</w:t>
      </w:r>
      <w:r>
        <w:t>sumed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“Keynesian</w:t>
      </w:r>
      <w:r w:rsidR="00B71607" w:rsidRPr="00B71607">
        <w:t xml:space="preserve"> </w:t>
      </w:r>
      <w:r>
        <w:t>short</w:t>
      </w:r>
      <w:r w:rsidR="00B71607" w:rsidRPr="00B71607">
        <w:t xml:space="preserve"> </w:t>
      </w:r>
      <w:r>
        <w:t>run”</w:t>
      </w:r>
      <w:r w:rsidR="00B71607" w:rsidRPr="00B71607">
        <w:t xml:space="preserve"> </w:t>
      </w:r>
      <w:r>
        <w:t>prevailed:</w:t>
      </w:r>
      <w:r w:rsidR="00B71607" w:rsidRPr="00B71607">
        <w:t xml:space="preserve"> </w:t>
      </w:r>
      <w:r w:rsidR="00255C5A">
        <w:t xml:space="preserve">that is, </w:t>
      </w:r>
      <w:r>
        <w:t>the</w:t>
      </w:r>
      <w:r w:rsidR="00B71607" w:rsidRPr="00B71607">
        <w:t xml:space="preserve"> </w:t>
      </w:r>
      <w:r>
        <w:t>stock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fixed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taken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given</w:t>
      </w:r>
      <w:r w:rsidR="00B71607" w:rsidRPr="00B71607">
        <w:t xml:space="preserve"> </w:t>
      </w:r>
      <w:r>
        <w:t>even</w:t>
      </w:r>
      <w:r w:rsidR="00B71607" w:rsidRPr="00B71607">
        <w:t xml:space="preserve"> </w:t>
      </w:r>
      <w:r>
        <w:t>though</w:t>
      </w:r>
      <w:r w:rsidR="00B71607" w:rsidRPr="00B71607">
        <w:t xml:space="preserve"> </w:t>
      </w:r>
      <w:r>
        <w:t>accumulation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occurring!</w:t>
      </w:r>
      <w:r w:rsidR="00B71607" w:rsidRPr="00B71607">
        <w:t xml:space="preserve"> </w:t>
      </w:r>
      <w:r>
        <w:t>Unfortunately,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problem</w:t>
      </w:r>
      <w:r w:rsidR="00B71607" w:rsidRPr="00B71607">
        <w:t xml:space="preserve"> </w:t>
      </w:r>
      <w:r>
        <w:t>cannot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solved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 w:rsidR="000668BB">
        <w:t xml:space="preserve">using the </w:t>
      </w:r>
      <w:r>
        <w:t>received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theory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neoclassical</w:t>
      </w:r>
      <w:r w:rsidR="00B71607" w:rsidRPr="00B71607">
        <w:t xml:space="preserve"> </w:t>
      </w:r>
      <w:r>
        <w:t>(NC)</w:t>
      </w:r>
      <w:r w:rsidR="00B71607" w:rsidRPr="00B71607">
        <w:t xml:space="preserve"> </w:t>
      </w:r>
      <w:r>
        <w:t>genre</w:t>
      </w:r>
      <w:r w:rsidR="00B71607" w:rsidRPr="00B71607">
        <w:t xml:space="preserve"> </w:t>
      </w:r>
      <w:r>
        <w:t>(e.g.,</w:t>
      </w:r>
      <w:r w:rsidR="00B71607" w:rsidRPr="00B71607">
        <w:t xml:space="preserve"> </w:t>
      </w:r>
      <w:r>
        <w:t>Solow,</w:t>
      </w:r>
      <w:r w:rsidR="00B71607" w:rsidRPr="00B71607">
        <w:t xml:space="preserve"> </w:t>
      </w:r>
      <w:r>
        <w:t>1956)</w:t>
      </w:r>
      <w:r w:rsidR="00B71607" w:rsidRPr="00B71607">
        <w:t xml:space="preserve"> </w:t>
      </w:r>
      <w:r>
        <w:t>without</w:t>
      </w:r>
      <w:r w:rsidR="00B71607" w:rsidRPr="00B71607">
        <w:t xml:space="preserve"> </w:t>
      </w:r>
      <w:r>
        <w:t>major</w:t>
      </w:r>
      <w:r w:rsidR="00B71607" w:rsidRPr="00B71607">
        <w:t xml:space="preserve"> </w:t>
      </w:r>
      <w:r>
        <w:t>modification.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top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its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 w:rsidR="000668BB">
        <w:t xml:space="preserve">important </w:t>
      </w:r>
      <w:r>
        <w:t>unrealistic</w:t>
      </w:r>
      <w:r w:rsidR="00B71607" w:rsidRPr="00B71607">
        <w:t xml:space="preserve"> </w:t>
      </w:r>
      <w:r>
        <w:t>assumptions,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theory</w:t>
      </w:r>
      <w:r w:rsidR="00B71607" w:rsidRPr="00B71607">
        <w:t xml:space="preserve"> </w:t>
      </w:r>
      <w:r>
        <w:t>assumes</w:t>
      </w:r>
      <w:r w:rsidR="00B71607" w:rsidRPr="00B71607">
        <w:t xml:space="preserve"> </w:t>
      </w:r>
      <w:r>
        <w:t>continuous</w:t>
      </w:r>
      <w:r w:rsidR="00B71607" w:rsidRPr="00B71607">
        <w:t xml:space="preserve"> </w:t>
      </w:r>
      <w:r>
        <w:t>full</w:t>
      </w:r>
      <w:r w:rsidR="00B71607" w:rsidRPr="00B71607">
        <w:t xml:space="preserve"> </w:t>
      </w:r>
      <w:r>
        <w:t>employment</w:t>
      </w:r>
      <w:r w:rsidR="00B71607" w:rsidRPr="00B71607">
        <w:t xml:space="preserve"> </w:t>
      </w:r>
      <w:r>
        <w:t>(FE).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contrast,</w:t>
      </w:r>
      <w:r w:rsidR="00B71607" w:rsidRPr="00B71607">
        <w:t xml:space="preserve"> </w:t>
      </w:r>
      <w:r>
        <w:t>my</w:t>
      </w:r>
      <w:r w:rsidR="00B71607" w:rsidRPr="00B71607">
        <w:t xml:space="preserve"> </w:t>
      </w:r>
      <w:r>
        <w:t>model</w:t>
      </w:r>
      <w:r w:rsidR="00B71607" w:rsidRPr="00B71607">
        <w:t xml:space="preserve"> </w:t>
      </w:r>
      <w:r>
        <w:t>requires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i</w:t>
      </w:r>
      <w:r>
        <w:t>n</w:t>
      </w:r>
      <w:r>
        <w:t>voluntary</w:t>
      </w:r>
      <w:r w:rsidR="00B71607" w:rsidRPr="00B71607">
        <w:t xml:space="preserve"> </w:t>
      </w:r>
      <w:r>
        <w:t>unemployment</w:t>
      </w:r>
      <w:r w:rsidR="00B71607" w:rsidRPr="00B71607">
        <w:t xml:space="preserve"> </w:t>
      </w:r>
      <w:r>
        <w:t>persist.</w:t>
      </w:r>
      <w:r>
        <w:rPr>
          <w:rStyle w:val="EndnoteReference"/>
        </w:rPr>
        <w:endnoteReference w:id="1"/>
      </w:r>
      <w:r w:rsidR="00255C5A">
        <w:t xml:space="preserve"> </w:t>
      </w:r>
    </w:p>
    <w:p w:rsidR="00162AC4" w:rsidRDefault="00162AC4" w:rsidP="006B3DED">
      <w:pPr>
        <w:spacing w:line="240" w:lineRule="auto"/>
      </w:pPr>
      <w:r>
        <w:t>(Unfortunately, I did not finish the first part of the paper soon enough to significantly write the second part (part III, below). So it’s not included here.)</w:t>
      </w:r>
    </w:p>
    <w:p w:rsidR="00FB4485" w:rsidRPr="00FB4485" w:rsidRDefault="00255C5A" w:rsidP="006B3DED">
      <w:pPr>
        <w:spacing w:line="240" w:lineRule="auto"/>
      </w:pPr>
      <w:r>
        <w:t>This means that</w:t>
      </w:r>
      <w:r w:rsidR="00B71607" w:rsidRPr="00B71607">
        <w:t xml:space="preserve"> </w:t>
      </w:r>
      <w:r w:rsidR="006B3DED" w:rsidRPr="00D4213A">
        <w:rPr>
          <w:noProof/>
        </w:rPr>
        <w:t>Harrod’s</w:t>
      </w:r>
      <w:r w:rsidR="00B71607" w:rsidRPr="00B71607">
        <w:t xml:space="preserve"> </w:t>
      </w:r>
      <w:r w:rsidR="006B3DED">
        <w:t>(1939)</w:t>
      </w:r>
      <w:r w:rsidR="00B71607" w:rsidRPr="00B71607">
        <w:t xml:space="preserve"> </w:t>
      </w:r>
      <w:r w:rsidR="006B3DED">
        <w:t>Keynesian</w:t>
      </w:r>
      <w:r w:rsidR="00B71607" w:rsidRPr="00B71607">
        <w:t xml:space="preserve"> </w:t>
      </w:r>
      <w:r w:rsidR="006B3DED">
        <w:t>analysis</w:t>
      </w:r>
      <w:r w:rsidR="00B71607" w:rsidRPr="00B71607">
        <w:t xml:space="preserve"> </w:t>
      </w:r>
      <w:r>
        <w:t>i</w:t>
      </w:r>
      <w:r w:rsidR="006B3DED">
        <w:t>s</w:t>
      </w:r>
      <w:r w:rsidR="00B71607" w:rsidRPr="00B71607">
        <w:t xml:space="preserve"> </w:t>
      </w:r>
      <w:r w:rsidR="006B3DED">
        <w:t>a</w:t>
      </w:r>
      <w:r w:rsidR="00B71607" w:rsidRPr="00B71607">
        <w:t xml:space="preserve"> </w:t>
      </w:r>
      <w:r w:rsidR="006B3DED">
        <w:t>better</w:t>
      </w:r>
      <w:r w:rsidR="00B71607" w:rsidRPr="00B71607">
        <w:t xml:space="preserve"> </w:t>
      </w:r>
      <w:r w:rsidR="006B3DED">
        <w:t>starting</w:t>
      </w:r>
      <w:r w:rsidR="00B71607" w:rsidRPr="00B71607">
        <w:t xml:space="preserve"> </w:t>
      </w:r>
      <w:r w:rsidR="006B3DED">
        <w:t>point.</w:t>
      </w:r>
      <w:r w:rsidR="00B71607" w:rsidRPr="00B71607">
        <w:t xml:space="preserve"> </w:t>
      </w:r>
      <w:r w:rsidR="00FB4485">
        <w:t xml:space="preserve">As Hoover (2008) argues, Harrod’s </w:t>
      </w:r>
      <w:r w:rsidR="00FB4485" w:rsidRPr="001E0B2A">
        <w:rPr>
          <w:i/>
        </w:rPr>
        <w:t>Essay</w:t>
      </w:r>
      <w:r w:rsidR="00FB4485" w:rsidRPr="00B71607">
        <w:t xml:space="preserve"> </w:t>
      </w:r>
      <w:r w:rsidR="00FB4485">
        <w:rPr>
          <w:i/>
        </w:rPr>
        <w:t>in</w:t>
      </w:r>
      <w:r w:rsidR="00FB4485" w:rsidRPr="00B71607">
        <w:t xml:space="preserve"> </w:t>
      </w:r>
      <w:r w:rsidR="00FB4485">
        <w:rPr>
          <w:i/>
        </w:rPr>
        <w:t>Dynamic</w:t>
      </w:r>
      <w:r w:rsidR="00FB4485" w:rsidRPr="00B71607">
        <w:t xml:space="preserve"> </w:t>
      </w:r>
      <w:r w:rsidR="00FB4485">
        <w:rPr>
          <w:i/>
        </w:rPr>
        <w:t>Theory</w:t>
      </w:r>
      <w:r w:rsidR="00FB4485">
        <w:t xml:space="preserve"> presents a very different theory from that of Solow, a difference that Solow himself misses. Hoover’s analysis fits well with the nece</w:t>
      </w:r>
      <w:r w:rsidR="00FB4485">
        <w:t>s</w:t>
      </w:r>
      <w:r w:rsidR="00FB4485">
        <w:t>sary rethinking of macrotheory after the Great Recession of 2007-09 and its stagnant a</w:t>
      </w:r>
      <w:r w:rsidR="00FB4485">
        <w:t>f</w:t>
      </w:r>
      <w:r w:rsidR="00FB4485">
        <w:t xml:space="preserve">termath. </w:t>
      </w:r>
    </w:p>
    <w:p w:rsidR="006B3DED" w:rsidRPr="000F7D19" w:rsidRDefault="00FB4485" w:rsidP="006B3DED">
      <w:pPr>
        <w:spacing w:line="240" w:lineRule="auto"/>
      </w:pPr>
      <w:r>
        <w:t xml:space="preserve">This paper applies two tools to understand Harrod’s analysis (developed in Devine, </w:t>
      </w:r>
      <w:r w:rsidR="00D42AAD">
        <w:t>1980</w:t>
      </w:r>
      <w:r>
        <w:t>)</w:t>
      </w:r>
      <w:r w:rsidR="00D42AAD">
        <w:t xml:space="preserve">, i.e., the use of different “runs” (instead of </w:t>
      </w:r>
      <w:r w:rsidR="00487DBE">
        <w:t xml:space="preserve">using distributed lags or the </w:t>
      </w:r>
      <w:r w:rsidR="00D42AAD">
        <w:t>assumption of movement to a posited long-term equilibrium) to analyze dynamics and the emphasis on the mutual interaction between the micro- and macro-levels and the need for consistency between the two levels (instead of a one-sided emphasis on “microfoundations”). One key contribution is that c</w:t>
      </w:r>
      <w:r w:rsidR="006B3DED">
        <w:t>ompared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both</w:t>
      </w:r>
      <w:r w:rsidR="00B71607" w:rsidRPr="00B71607">
        <w:t xml:space="preserve"> </w:t>
      </w:r>
      <w:r w:rsidR="00D42AAD">
        <w:t xml:space="preserve">Harrod’s </w:t>
      </w:r>
      <w:r w:rsidR="006B3DED">
        <w:rPr>
          <w:i/>
        </w:rPr>
        <w:t>Essay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t>NC</w:t>
      </w:r>
      <w:r w:rsidR="00B71607" w:rsidRPr="00B71607">
        <w:t xml:space="preserve"> </w:t>
      </w:r>
      <w:r w:rsidR="006B3DED">
        <w:t>models,</w:t>
      </w:r>
      <w:r w:rsidR="00B71607" w:rsidRPr="00B71607">
        <w:t xml:space="preserve"> </w:t>
      </w:r>
      <w:r w:rsidR="006B3DED">
        <w:t>however,</w:t>
      </w:r>
      <w:r w:rsidR="00B71607" w:rsidRPr="00B71607">
        <w:t xml:space="preserve"> </w:t>
      </w:r>
      <w:r w:rsidR="006B3DED">
        <w:t>I</w:t>
      </w:r>
      <w:r w:rsidR="00B71607" w:rsidRPr="00B71607">
        <w:t xml:space="preserve"> </w:t>
      </w:r>
      <w:r w:rsidR="006B3DED">
        <w:t>drop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255C5A">
        <w:t xml:space="preserve">common </w:t>
      </w:r>
      <w:r w:rsidR="006B3DED">
        <w:t>assumption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growth</w:t>
      </w:r>
      <w:r w:rsidR="00B71607" w:rsidRPr="00B71607">
        <w:t xml:space="preserve"> </w:t>
      </w:r>
      <w:r w:rsidR="00255C5A">
        <w:t xml:space="preserve">at Harrod’s “natural” rate is </w:t>
      </w:r>
      <w:r w:rsidR="006B3DED">
        <w:t>the</w:t>
      </w:r>
      <w:r w:rsidR="00B71607" w:rsidRPr="00B71607">
        <w:t xml:space="preserve"> </w:t>
      </w:r>
      <w:r w:rsidR="006B3DED">
        <w:t>same</w:t>
      </w:r>
      <w:r w:rsidR="00B71607" w:rsidRPr="00B71607">
        <w:t xml:space="preserve"> </w:t>
      </w:r>
      <w:r w:rsidR="006B3DED">
        <w:t>as</w:t>
      </w:r>
      <w:r w:rsidR="00B71607" w:rsidRPr="00B71607">
        <w:t xml:space="preserve"> </w:t>
      </w:r>
      <w:r w:rsidR="006B3DED">
        <w:t>growth</w:t>
      </w:r>
      <w:r w:rsidR="00B71607" w:rsidRPr="00B71607">
        <w:t xml:space="preserve"> </w:t>
      </w:r>
      <w:r w:rsidR="006B3DED">
        <w:t>chara</w:t>
      </w:r>
      <w:r w:rsidR="006B3DED">
        <w:t>c</w:t>
      </w:r>
      <w:r w:rsidR="006B3DED">
        <w:t>terized</w:t>
      </w:r>
      <w:r w:rsidR="00B71607" w:rsidRPr="00B71607">
        <w:t xml:space="preserve"> </w:t>
      </w:r>
      <w:r w:rsidR="006B3DED">
        <w:t>by</w:t>
      </w:r>
      <w:r w:rsidR="00B71607" w:rsidRPr="00B71607">
        <w:t xml:space="preserve"> </w:t>
      </w:r>
      <w:r w:rsidR="006B3DED">
        <w:t>FE.</w:t>
      </w:r>
      <w:r w:rsidR="00070F6A">
        <w:t xml:space="preserve"> </w:t>
      </w:r>
    </w:p>
    <w:p w:rsidR="006B3DED" w:rsidRDefault="005A395D" w:rsidP="006B3DED">
      <w:pPr>
        <w:spacing w:line="240" w:lineRule="auto"/>
      </w:pPr>
      <w:r>
        <w:t xml:space="preserve">Harrod’s work requires examination not because it presents new ideas but because its old ideas have been shelved and forgotten. </w:t>
      </w:r>
      <w:r w:rsidR="006B3DED">
        <w:t>After</w:t>
      </w:r>
      <w:r w:rsidR="00B71607" w:rsidRPr="00B71607">
        <w:t xml:space="preserve"> </w:t>
      </w:r>
      <w:r>
        <w:t xml:space="preserve">he </w:t>
      </w:r>
      <w:r w:rsidR="006B3DED">
        <w:t>wrote</w:t>
      </w:r>
      <w:r w:rsidR="00B71607" w:rsidRPr="00B71607">
        <w:t xml:space="preserve"> </w:t>
      </w:r>
      <w:r w:rsidR="006B3DED">
        <w:t>his</w:t>
      </w:r>
      <w:r w:rsidR="00B71607" w:rsidRPr="00B71607">
        <w:t xml:space="preserve"> </w:t>
      </w:r>
      <w:r w:rsidR="006B3DED" w:rsidRPr="001E0B2A">
        <w:rPr>
          <w:i/>
        </w:rPr>
        <w:t>Essay</w:t>
      </w:r>
      <w:r w:rsidR="006B3DED">
        <w:t>,</w:t>
      </w:r>
      <w:r w:rsidR="00B71607" w:rsidRPr="00B71607">
        <w:t xml:space="preserve"> </w:t>
      </w:r>
      <w:r w:rsidR="006B3DED">
        <w:t>a</w:t>
      </w:r>
      <w:r w:rsidR="00B71607" w:rsidRPr="00B71607">
        <w:t xml:space="preserve"> </w:t>
      </w:r>
      <w:r w:rsidR="006B3DED">
        <w:t>major</w:t>
      </w:r>
      <w:r w:rsidR="00B71607" w:rsidRPr="00B71607">
        <w:t xml:space="preserve"> </w:t>
      </w:r>
      <w:r w:rsidR="006B3DED">
        <w:t>intellectual</w:t>
      </w:r>
      <w:r w:rsidR="00B71607" w:rsidRPr="00B71607">
        <w:t xml:space="preserve"> </w:t>
      </w:r>
      <w:r w:rsidR="006B3DED">
        <w:t>sea-change</w:t>
      </w:r>
      <w:r w:rsidR="00B71607" w:rsidRPr="00B71607">
        <w:t xml:space="preserve"> </w:t>
      </w:r>
      <w:r w:rsidR="006B3DED">
        <w:t>swept</w:t>
      </w:r>
      <w:r w:rsidR="00B71607" w:rsidRPr="00B71607">
        <w:t xml:space="preserve"> </w:t>
      </w:r>
      <w:r w:rsidR="006B3DED">
        <w:t>macroeconomic</w:t>
      </w:r>
      <w:r w:rsidR="00B71607" w:rsidRPr="00B71607">
        <w:t xml:space="preserve"> </w:t>
      </w:r>
      <w:r w:rsidR="006B3DED">
        <w:t>theory:</w:t>
      </w:r>
      <w:r w:rsidR="00B71607" w:rsidRPr="00B71607">
        <w:t xml:space="preserve"> </w:t>
      </w:r>
      <w:r w:rsidR="006B3DED">
        <w:t>his</w:t>
      </w:r>
      <w:r w:rsidR="00B71607" w:rsidRPr="00B71607">
        <w:t xml:space="preserve"> </w:t>
      </w:r>
      <w:r w:rsidR="006B3DED">
        <w:t>vision</w:t>
      </w:r>
      <w:r w:rsidR="00B71607" w:rsidRPr="00B71607">
        <w:t xml:space="preserve"> </w:t>
      </w:r>
      <w:r w:rsidR="006B3DED">
        <w:t>–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Keynesian</w:t>
      </w:r>
      <w:r w:rsidR="00B71607" w:rsidRPr="00B71607">
        <w:t xml:space="preserve"> </w:t>
      </w:r>
      <w:r w:rsidR="006B3DED">
        <w:t>school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ge</w:t>
      </w:r>
      <w:r w:rsidR="006B3DED">
        <w:t>n</w:t>
      </w:r>
      <w:r w:rsidR="006B3DED">
        <w:t>eral</w:t>
      </w:r>
      <w:r w:rsidR="00B71607" w:rsidRPr="00B71607">
        <w:t xml:space="preserve"> </w:t>
      </w:r>
      <w:r w:rsidR="006B3DED">
        <w:t>–</w:t>
      </w:r>
      <w:r w:rsidR="00B71607" w:rsidRPr="00B71607">
        <w:t xml:space="preserve"> </w:t>
      </w:r>
      <w:r w:rsidR="006B3DED">
        <w:t>was</w:t>
      </w:r>
      <w:r w:rsidR="00B71607" w:rsidRPr="00B71607">
        <w:t xml:space="preserve"> </w:t>
      </w:r>
      <w:r w:rsidR="006B3DED">
        <w:t>almost</w:t>
      </w:r>
      <w:r w:rsidR="00B71607" w:rsidRPr="00B71607">
        <w:t xml:space="preserve"> </w:t>
      </w:r>
      <w:r w:rsidR="006B3DED">
        <w:t>completely</w:t>
      </w:r>
      <w:r w:rsidR="00B71607" w:rsidRPr="00B71607">
        <w:t xml:space="preserve"> </w:t>
      </w:r>
      <w:r w:rsidR="006B3DED">
        <w:t>replaced</w:t>
      </w:r>
      <w:r w:rsidR="00B71607" w:rsidRPr="00B71607">
        <w:t xml:space="preserve"> </w:t>
      </w:r>
      <w:r w:rsidR="006B3DED">
        <w:t>(at</w:t>
      </w:r>
      <w:r w:rsidR="00B71607" w:rsidRPr="00B71607">
        <w:t xml:space="preserve"> </w:t>
      </w:r>
      <w:r w:rsidR="006B3DED">
        <w:t>least</w:t>
      </w:r>
      <w:r w:rsidR="00B71607" w:rsidRPr="00B71607">
        <w:t xml:space="preserve"> </w:t>
      </w:r>
      <w:r w:rsidR="006B3DED">
        <w:t>among</w:t>
      </w:r>
      <w:r w:rsidR="00B71607" w:rsidRPr="00B71607">
        <w:t xml:space="preserve"> </w:t>
      </w:r>
      <w:r w:rsidR="006B3DED">
        <w:t>academic</w:t>
      </w:r>
      <w:r w:rsidR="000668BB">
        <w:t xml:space="preserve"> macroeconomist</w:t>
      </w:r>
      <w:r w:rsidR="006B3DED">
        <w:t>s)</w:t>
      </w:r>
      <w:r w:rsidR="00B71607" w:rsidRPr="00B71607">
        <w:t xml:space="preserve"> </w:t>
      </w:r>
      <w:r w:rsidR="006B3DED">
        <w:t>by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Walrasian</w:t>
      </w:r>
      <w:r w:rsidR="00B71607" w:rsidRPr="00B71607">
        <w:t xml:space="preserve"> </w:t>
      </w:r>
      <w:r w:rsidR="006B3DED">
        <w:t>or</w:t>
      </w:r>
      <w:r w:rsidR="00B71607" w:rsidRPr="00B71607">
        <w:t xml:space="preserve"> </w:t>
      </w:r>
      <w:r w:rsidR="006B3DED">
        <w:t>NC</w:t>
      </w:r>
      <w:r w:rsidR="00B71607" w:rsidRPr="00B71607">
        <w:t xml:space="preserve"> </w:t>
      </w:r>
      <w:r w:rsidR="006B3DED">
        <w:t>school.</w:t>
      </w:r>
      <w:r w:rsidR="00B71607" w:rsidRPr="00B71607">
        <w:t xml:space="preserve"> </w:t>
      </w:r>
      <w:r w:rsidR="00255C5A">
        <w:t xml:space="preserve">Nowadays, even </w:t>
      </w:r>
      <w:r w:rsidR="006B3DED">
        <w:t>the</w:t>
      </w:r>
      <w:r w:rsidR="00B71607" w:rsidRPr="00B71607">
        <w:t xml:space="preserve"> </w:t>
      </w:r>
      <w:r w:rsidR="006B3DED">
        <w:t>so-called</w:t>
      </w:r>
      <w:r w:rsidR="00B71607" w:rsidRPr="00B71607">
        <w:t xml:space="preserve"> </w:t>
      </w:r>
      <w:r w:rsidR="006B3DED">
        <w:t>“new</w:t>
      </w:r>
      <w:r w:rsidR="00B71607" w:rsidRPr="00B71607">
        <w:t xml:space="preserve"> </w:t>
      </w:r>
      <w:r w:rsidR="006B3DED">
        <w:t>Keynesian”</w:t>
      </w:r>
      <w:r w:rsidR="00B71607" w:rsidRPr="00B71607">
        <w:t xml:space="preserve"> </w:t>
      </w:r>
      <w:r w:rsidR="006B3DED">
        <w:t>school</w:t>
      </w:r>
      <w:r w:rsidR="00B71607" w:rsidRPr="00B71607">
        <w:t xml:space="preserve"> </w:t>
      </w:r>
      <w:r w:rsidR="000668BB">
        <w:t xml:space="preserve">tries </w:t>
      </w:r>
      <w:r w:rsidR="000668BB">
        <w:lastRenderedPageBreak/>
        <w:t xml:space="preserve">to force Keynesian economics into the Procrustean Bed of </w:t>
      </w:r>
      <w:r w:rsidR="006B3DED">
        <w:t>Walrasian</w:t>
      </w:r>
      <w:r w:rsidR="00B71607" w:rsidRPr="00B71607">
        <w:t xml:space="preserve"> </w:t>
      </w:r>
      <w:r w:rsidR="006B3DED">
        <w:t>general</w:t>
      </w:r>
      <w:r w:rsidR="00B71607" w:rsidRPr="00B71607">
        <w:t xml:space="preserve"> </w:t>
      </w:r>
      <w:r w:rsidR="006B3DED">
        <w:t>equilibrium</w:t>
      </w:r>
      <w:r w:rsidR="000668BB">
        <w:t xml:space="preserve">. The main difference from the “new Classical” school is that they add </w:t>
      </w:r>
      <w:r w:rsidR="006B3DED">
        <w:t>one</w:t>
      </w:r>
      <w:r w:rsidR="00B71607" w:rsidRPr="00B71607">
        <w:t xml:space="preserve"> </w:t>
      </w:r>
      <w:r w:rsidR="006B3DED">
        <w:t>or</w:t>
      </w:r>
      <w:r w:rsidR="00B71607" w:rsidRPr="00B71607">
        <w:t xml:space="preserve"> </w:t>
      </w:r>
      <w:r w:rsidR="006B3DED">
        <w:t>two</w:t>
      </w:r>
      <w:r w:rsidR="00B71607" w:rsidRPr="00B71607">
        <w:t xml:space="preserve"> </w:t>
      </w:r>
      <w:r w:rsidR="006B3DED">
        <w:t>“imperfe</w:t>
      </w:r>
      <w:r w:rsidR="006B3DED">
        <w:t>c</w:t>
      </w:r>
      <w:r w:rsidR="006B3DED">
        <w:t>tions”</w:t>
      </w:r>
      <w:r w:rsidR="00B71607" w:rsidRPr="00B71607">
        <w:t xml:space="preserve"> </w:t>
      </w:r>
      <w:r w:rsidR="00586057">
        <w:t>to explain the absence of market clearing.</w:t>
      </w:r>
      <w:r w:rsidR="00586057">
        <w:rPr>
          <w:rStyle w:val="EndnoteReference"/>
        </w:rPr>
        <w:endnoteReference w:id="2"/>
      </w:r>
      <w:r w:rsidR="007B27C8">
        <w:t xml:space="preserve"> </w:t>
      </w:r>
      <w:r w:rsidR="00586057">
        <w:t xml:space="preserve">Most often this involves the nominal stickiness of wages </w:t>
      </w:r>
      <w:r>
        <w:t>(</w:t>
      </w:r>
      <w:r w:rsidR="006F2C22">
        <w:t>cf. Davidson, 1992)</w:t>
      </w:r>
      <w:r w:rsidR="006B3DED">
        <w:t>.</w:t>
      </w:r>
      <w:r w:rsidR="00B71607" w:rsidRPr="00B71607">
        <w:t xml:space="preserve"> </w:t>
      </w:r>
      <w:r w:rsidR="006B3DED">
        <w:t>Th</w:t>
      </w:r>
      <w:r w:rsidR="000668BB">
        <w:t>e general success of th</w:t>
      </w:r>
      <w:r w:rsidR="006B3DED">
        <w:t>is</w:t>
      </w:r>
      <w:r w:rsidR="00B71607" w:rsidRPr="00B71607">
        <w:t xml:space="preserve"> </w:t>
      </w:r>
      <w:r w:rsidR="006B3DED">
        <w:t>intellectual</w:t>
      </w:r>
      <w:r w:rsidR="00B71607" w:rsidRPr="00B71607">
        <w:t xml:space="preserve"> </w:t>
      </w:r>
      <w:r w:rsidR="00255C5A">
        <w:t>cou</w:t>
      </w:r>
      <w:r w:rsidR="00255C5A">
        <w:t>n</w:t>
      </w:r>
      <w:r w:rsidR="00255C5A">
        <w:t>terrevolution</w:t>
      </w:r>
      <w:r w:rsidR="00B71607" w:rsidRPr="00B71607">
        <w:t xml:space="preserve"> </w:t>
      </w:r>
      <w:r w:rsidR="00255C5A">
        <w:t xml:space="preserve">helped to </w:t>
      </w:r>
      <w:r w:rsidR="006B3DED">
        <w:t>convinc</w:t>
      </w:r>
      <w:r w:rsidR="00255C5A">
        <w:t>e</w:t>
      </w:r>
      <w:r w:rsidR="00B71607" w:rsidRPr="00B71607">
        <w:t xml:space="preserve"> </w:t>
      </w:r>
      <w:r w:rsidR="006B3DED">
        <w:t>most</w:t>
      </w:r>
      <w:r w:rsidR="00B71607" w:rsidRPr="00B71607">
        <w:t xml:space="preserve"> </w:t>
      </w:r>
      <w:r w:rsidR="006B3DED">
        <w:t>economists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Solow’s</w:t>
      </w:r>
      <w:r w:rsidR="00B71607" w:rsidRPr="00B71607">
        <w:t xml:space="preserve"> </w:t>
      </w:r>
      <w:r w:rsidR="006B3DED">
        <w:t>(1956)</w:t>
      </w:r>
      <w:r w:rsidR="00B71607" w:rsidRPr="00B71607">
        <w:t xml:space="preserve"> </w:t>
      </w:r>
      <w:r w:rsidR="006B3DED">
        <w:t>growth</w:t>
      </w:r>
      <w:r w:rsidR="00B71607" w:rsidRPr="00B71607">
        <w:t xml:space="preserve"> </w:t>
      </w:r>
      <w:r w:rsidR="006B3DED">
        <w:t>model</w:t>
      </w:r>
      <w:r w:rsidR="00B71607" w:rsidRPr="00B71607">
        <w:t xml:space="preserve"> </w:t>
      </w:r>
      <w:r w:rsidR="006B3DED">
        <w:t>had</w:t>
      </w:r>
      <w:r w:rsidR="00B71607" w:rsidRPr="00B71607">
        <w:t xml:space="preserve"> </w:t>
      </w:r>
      <w:r w:rsidR="006B3DED">
        <w:t>totally</w:t>
      </w:r>
      <w:r w:rsidR="00B71607" w:rsidRPr="00B71607">
        <w:t xml:space="preserve"> </w:t>
      </w:r>
      <w:r w:rsidR="006B3DED">
        <w:t>superseded</w:t>
      </w:r>
      <w:r w:rsidR="00B71607" w:rsidRPr="00B71607">
        <w:t xml:space="preserve"> </w:t>
      </w:r>
      <w:r w:rsidR="006B3DED" w:rsidRPr="00D4213A">
        <w:rPr>
          <w:noProof/>
        </w:rPr>
        <w:t>Harrod’s</w:t>
      </w:r>
      <w:r w:rsidR="00B71607" w:rsidRPr="00B71607">
        <w:t xml:space="preserve"> </w:t>
      </w:r>
      <w:r w:rsidR="006B3DED">
        <w:t>dynamics.</w:t>
      </w:r>
      <w:r w:rsidR="00B71607" w:rsidRPr="00B71607">
        <w:t xml:space="preserve"> </w:t>
      </w:r>
      <w:r w:rsidR="006B3DED">
        <w:t>Thus,</w:t>
      </w:r>
      <w:r w:rsidR="00B71607" w:rsidRPr="00B71607">
        <w:t xml:space="preserve"> </w:t>
      </w:r>
      <w:r w:rsidR="006B3DED">
        <w:t>they</w:t>
      </w:r>
      <w:r w:rsidR="00B71607" w:rsidRPr="00B71607">
        <w:t xml:space="preserve"> </w:t>
      </w:r>
      <w:r w:rsidR="006B3DED">
        <w:t>view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rPr>
          <w:i/>
        </w:rPr>
        <w:t>Essay</w:t>
      </w:r>
      <w:r w:rsidR="00B71607" w:rsidRPr="00B71607">
        <w:t xml:space="preserve"> </w:t>
      </w:r>
      <w:r w:rsidR="006B3DED">
        <w:t>through</w:t>
      </w:r>
      <w:r w:rsidR="00B71607" w:rsidRPr="00B71607">
        <w:t xml:space="preserve"> </w:t>
      </w:r>
      <w:r w:rsidR="006B3DED">
        <w:t>a</w:t>
      </w:r>
      <w:r w:rsidR="00B71607" w:rsidRPr="00B71607">
        <w:t xml:space="preserve"> </w:t>
      </w:r>
      <w:r w:rsidR="006B3DED">
        <w:t>purely</w:t>
      </w:r>
      <w:r w:rsidR="00B71607" w:rsidRPr="00B71607">
        <w:t xml:space="preserve"> </w:t>
      </w:r>
      <w:r w:rsidR="006B3DED">
        <w:t>NC</w:t>
      </w:r>
      <w:r w:rsidR="00B71607" w:rsidRPr="00B71607">
        <w:t xml:space="preserve"> </w:t>
      </w:r>
      <w:r w:rsidR="006B3DED">
        <w:t>lens</w:t>
      </w:r>
      <w:r w:rsidR="00B71607" w:rsidRPr="00B71607">
        <w:t xml:space="preserve"> </w:t>
      </w:r>
      <w:r w:rsidR="006B3DED">
        <w:t>–</w:t>
      </w:r>
      <w:r w:rsidR="00B71607" w:rsidRPr="00B71607">
        <w:t xml:space="preserve"> </w:t>
      </w:r>
      <w:r w:rsidR="006B3DED">
        <w:t>or</w:t>
      </w:r>
      <w:r w:rsidR="00B71607" w:rsidRPr="00B71607">
        <w:t xml:space="preserve"> </w:t>
      </w:r>
      <w:r w:rsidR="006B3DED">
        <w:t>do</w:t>
      </w:r>
      <w:r w:rsidR="00B71607" w:rsidRPr="00B71607">
        <w:t xml:space="preserve"> </w:t>
      </w:r>
      <w:r w:rsidR="006B3DED">
        <w:t>not</w:t>
      </w:r>
      <w:r w:rsidR="00B71607" w:rsidRPr="00B71607">
        <w:t xml:space="preserve"> </w:t>
      </w:r>
      <w:r w:rsidR="006B3DED">
        <w:t>read</w:t>
      </w:r>
      <w:r w:rsidR="00B71607" w:rsidRPr="00B71607">
        <w:t xml:space="preserve"> </w:t>
      </w:r>
      <w:r w:rsidR="006B3DED">
        <w:t>it</w:t>
      </w:r>
      <w:r w:rsidR="00B71607" w:rsidRPr="00B71607">
        <w:t xml:space="preserve"> </w:t>
      </w:r>
      <w:r w:rsidR="006B3DED">
        <w:t>at</w:t>
      </w:r>
      <w:r w:rsidR="00B71607" w:rsidRPr="00B71607">
        <w:t xml:space="preserve"> </w:t>
      </w:r>
      <w:r w:rsidR="006B3DED">
        <w:t>all</w:t>
      </w:r>
      <w:r w:rsidR="00B71607" w:rsidRPr="00B71607">
        <w:t xml:space="preserve"> </w:t>
      </w:r>
      <w:r w:rsidR="006B3DED">
        <w:t>–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t>so</w:t>
      </w:r>
      <w:r w:rsidR="00B71607" w:rsidRPr="00B71607">
        <w:t xml:space="preserve"> </w:t>
      </w:r>
      <w:r w:rsidR="006B3DED">
        <w:t>miss</w:t>
      </w:r>
      <w:r w:rsidR="00B71607" w:rsidRPr="00B71607">
        <w:t xml:space="preserve"> </w:t>
      </w:r>
      <w:r w:rsidR="006B3DED">
        <w:t>its</w:t>
      </w:r>
      <w:r w:rsidR="00B71607" w:rsidRPr="00B71607">
        <w:t xml:space="preserve"> </w:t>
      </w:r>
      <w:r w:rsidR="006B3DED">
        <w:t>major</w:t>
      </w:r>
      <w:r w:rsidR="00B71607" w:rsidRPr="00B71607">
        <w:t xml:space="preserve"> </w:t>
      </w:r>
      <w:r w:rsidR="006B3DED">
        <w:t>points</w:t>
      </w:r>
      <w:r w:rsidR="00B71607" w:rsidRPr="00B71607">
        <w:t xml:space="preserve"> </w:t>
      </w:r>
      <w:r w:rsidR="006B3DED">
        <w:t>(cf.</w:t>
      </w:r>
      <w:r w:rsidR="00B71607" w:rsidRPr="00B71607">
        <w:t xml:space="preserve"> </w:t>
      </w:r>
      <w:r w:rsidR="006B3DED">
        <w:rPr>
          <w:noProof/>
        </w:rPr>
        <w:t>Hoover</w:t>
      </w:r>
      <w:r w:rsidR="006B3DED">
        <w:t>,</w:t>
      </w:r>
      <w:r w:rsidR="00B71607" w:rsidRPr="00B71607">
        <w:t xml:space="preserve"> </w:t>
      </w:r>
      <w:r w:rsidR="006B3DED">
        <w:t>2008).</w:t>
      </w:r>
      <w:r w:rsidR="00B71607" w:rsidRPr="00B71607">
        <w:t xml:space="preserve"> </w:t>
      </w:r>
      <w:r w:rsidR="006B3DED">
        <w:t>Because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 w:rsidRPr="001E0B2A">
        <w:rPr>
          <w:i/>
        </w:rPr>
        <w:t>Essay</w:t>
      </w:r>
      <w:r w:rsidR="00B71607" w:rsidRPr="00B71607">
        <w:t xml:space="preserve"> </w:t>
      </w:r>
      <w:r w:rsidR="006B3DED">
        <w:t>was</w:t>
      </w:r>
      <w:r w:rsidR="00B71607" w:rsidRPr="00B71607">
        <w:t xml:space="preserve"> </w:t>
      </w:r>
      <w:r w:rsidR="006B3DED">
        <w:t>almost</w:t>
      </w:r>
      <w:r w:rsidR="00B71607" w:rsidRPr="00B71607">
        <w:t xml:space="preserve"> </w:t>
      </w:r>
      <w:r w:rsidR="006B3DED">
        <w:t>completely</w:t>
      </w:r>
      <w:r w:rsidR="00B71607" w:rsidRPr="00B71607">
        <w:t xml:space="preserve"> </w:t>
      </w:r>
      <w:r w:rsidR="006B3DED">
        <w:t>Keynesian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current</w:t>
      </w:r>
      <w:r w:rsidR="00B71607" w:rsidRPr="00B71607">
        <w:t xml:space="preserve"> </w:t>
      </w:r>
      <w:r w:rsidR="006B3DED">
        <w:t>orthodoxy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macroeconomic</w:t>
      </w:r>
      <w:r w:rsidR="00B71607" w:rsidRPr="00B71607">
        <w:t xml:space="preserve"> </w:t>
      </w:r>
      <w:r w:rsidR="006B3DED">
        <w:t>theory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NC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extreme</w:t>
      </w:r>
      <w:r w:rsidR="00B71607" w:rsidRPr="00B71607">
        <w:t xml:space="preserve"> </w:t>
      </w:r>
      <w:r w:rsidR="006B3DED">
        <w:t>(cf.</w:t>
      </w:r>
      <w:r w:rsidR="00B71607" w:rsidRPr="00B71607">
        <w:t xml:space="preserve"> </w:t>
      </w:r>
      <w:r w:rsidR="006B3DED">
        <w:t>stochastic</w:t>
      </w:r>
      <w:r w:rsidR="00B71607" w:rsidRPr="00B71607">
        <w:t xml:space="preserve"> </w:t>
      </w:r>
      <w:r w:rsidR="006B3DED">
        <w:t>general</w:t>
      </w:r>
      <w:r w:rsidR="00B71607" w:rsidRPr="00B71607">
        <w:t xml:space="preserve"> </w:t>
      </w:r>
      <w:r w:rsidR="006B3DED">
        <w:t>equilibrium</w:t>
      </w:r>
      <w:r w:rsidR="00B71607" w:rsidRPr="00B71607">
        <w:t xml:space="preserve"> </w:t>
      </w:r>
      <w:r w:rsidR="006B3DED">
        <w:t>theory),</w:t>
      </w:r>
      <w:r w:rsidR="00B71607" w:rsidRPr="00B71607">
        <w:t xml:space="preserve"> </w:t>
      </w:r>
      <w:r w:rsidR="006B3DED">
        <w:t>it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useful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start</w:t>
      </w:r>
      <w:r w:rsidR="00B71607" w:rsidRPr="00B71607">
        <w:t xml:space="preserve"> </w:t>
      </w:r>
      <w:r w:rsidR="006B3DED">
        <w:t>with</w:t>
      </w:r>
      <w:r w:rsidR="00B71607" w:rsidRPr="00B71607">
        <w:t xml:space="preserve"> </w:t>
      </w:r>
      <w:r w:rsidR="006B3DED">
        <w:t>an</w:t>
      </w:r>
      <w:r w:rsidR="00B71607" w:rsidRPr="00B71607">
        <w:t xml:space="preserve"> </w:t>
      </w:r>
      <w:r w:rsidR="006B3DED">
        <w:t>explanation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Keynesian</w:t>
      </w:r>
      <w:r w:rsidR="00B71607" w:rsidRPr="00B71607">
        <w:t xml:space="preserve"> </w:t>
      </w:r>
      <w:r w:rsidR="006B3DED">
        <w:t>framework.</w:t>
      </w:r>
    </w:p>
    <w:p w:rsidR="006B3DED" w:rsidRDefault="006B3DED" w:rsidP="00FB4485">
      <w:pPr>
        <w:pStyle w:val="H3"/>
      </w:pPr>
      <w:bookmarkStart w:id="1" w:name="_Ref414381876"/>
      <w:r>
        <w:t>Keynesian</w:t>
      </w:r>
      <w:r w:rsidR="00B71607" w:rsidRPr="00B71607">
        <w:t xml:space="preserve"> </w:t>
      </w:r>
      <w:r>
        <w:t>Macroeconomics.</w:t>
      </w:r>
      <w:bookmarkEnd w:id="1"/>
      <w:r w:rsidR="00B71607" w:rsidRPr="00B71607">
        <w:t xml:space="preserve"> </w:t>
      </w:r>
    </w:p>
    <w:p w:rsidR="006B3DED" w:rsidRDefault="006B3DED" w:rsidP="006B3DED">
      <w:pPr>
        <w:spacing w:line="240" w:lineRule="auto"/>
      </w:pPr>
      <w:r>
        <w:t>As</w:t>
      </w:r>
      <w:r w:rsidR="00B71607" w:rsidRPr="00B71607">
        <w:t xml:space="preserve"> </w:t>
      </w:r>
      <w:r>
        <w:t>Hoover</w:t>
      </w:r>
      <w:r w:rsidR="00B71607" w:rsidRPr="00B71607">
        <w:t xml:space="preserve"> </w:t>
      </w:r>
      <w:r>
        <w:t>(2008)</w:t>
      </w:r>
      <w:r w:rsidR="00B71607" w:rsidRPr="00B71607">
        <w:t xml:space="preserve"> </w:t>
      </w:r>
      <w:r>
        <w:t>notes,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>
        <w:t>Solow</w:t>
      </w:r>
      <w:r w:rsidR="00B71607" w:rsidRPr="00B71607">
        <w:t xml:space="preserve"> </w:t>
      </w:r>
      <w:r>
        <w:t>focuses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“growth,”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ideal</w:t>
      </w:r>
      <w:r w:rsidR="00B71607" w:rsidRPr="00B71607">
        <w:t xml:space="preserve"> </w:t>
      </w:r>
      <w:r>
        <w:t>steady-state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utopian</w:t>
      </w:r>
      <w:r w:rsidR="00B71607" w:rsidRPr="00B71607">
        <w:t xml:space="preserve"> </w:t>
      </w:r>
      <w:r>
        <w:t>economy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always</w:t>
      </w:r>
      <w:r w:rsidR="00B71607" w:rsidRPr="00B71607">
        <w:t xml:space="preserve"> </w:t>
      </w:r>
      <w:r>
        <w:t>enjoys</w:t>
      </w:r>
      <w:r w:rsidR="00B71607" w:rsidRPr="00B71607">
        <w:t xml:space="preserve"> </w:t>
      </w:r>
      <w:r>
        <w:t>FE,</w:t>
      </w:r>
      <w:r w:rsidR="00B71607" w:rsidRPr="00B71607">
        <w:t xml:space="preserve"> </w:t>
      </w:r>
      <w:r>
        <w:t>Harrod’s</w:t>
      </w:r>
      <w:r w:rsidR="00B71607" w:rsidRPr="00B71607">
        <w:t xml:space="preserve"> </w:t>
      </w:r>
      <w:r w:rsidRPr="001E0B2A">
        <w:rPr>
          <w:i/>
        </w:rPr>
        <w:t>Essay</w:t>
      </w:r>
      <w:r w:rsidR="00B71607" w:rsidRPr="00B71607">
        <w:t xml:space="preserve"> </w:t>
      </w:r>
      <w:r>
        <w:t>concerns</w:t>
      </w:r>
      <w:r w:rsidR="00B71607" w:rsidRPr="00B71607">
        <w:t xml:space="preserve"> </w:t>
      </w:r>
      <w:r>
        <w:t>“dynamics,”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pr</w:t>
      </w:r>
      <w:r>
        <w:t>o</w:t>
      </w:r>
      <w:r>
        <w:t>cesses</w:t>
      </w:r>
      <w:r w:rsidR="00B71607" w:rsidRPr="00B71607">
        <w:t xml:space="preserve"> </w:t>
      </w:r>
      <w:r>
        <w:t>occurring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moving</w:t>
      </w:r>
      <w:r w:rsidR="00B71607" w:rsidRPr="00B71607">
        <w:t xml:space="preserve"> </w:t>
      </w:r>
      <w:r>
        <w:t>equilibrium</w:t>
      </w:r>
      <w:r w:rsidR="00B71607" w:rsidRPr="00B71607">
        <w:t xml:space="preserve"> </w:t>
      </w:r>
      <w:r w:rsidR="000700FC">
        <w:t xml:space="preserve">(“warranted growth”) </w:t>
      </w:r>
      <w:r>
        <w:t>which</w:t>
      </w:r>
      <w:r w:rsidR="00B71607" w:rsidRPr="00B71607">
        <w:t xml:space="preserve"> </w:t>
      </w:r>
      <w:r>
        <w:t>may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may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t>FE.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theory</w:t>
      </w:r>
      <w:r w:rsidR="00B71607" w:rsidRPr="00B71607">
        <w:t xml:space="preserve"> </w:t>
      </w:r>
      <w:r>
        <w:t>might</w:t>
      </w:r>
      <w:r w:rsidR="00B71607" w:rsidRPr="00B71607">
        <w:t xml:space="preserve"> </w:t>
      </w:r>
      <w:r>
        <w:t>include</w:t>
      </w:r>
      <w:r w:rsidR="00B71607" w:rsidRPr="00B71607">
        <w:t xml:space="preserve"> </w:t>
      </w:r>
      <w:r>
        <w:t>Solow’s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subset,</w:t>
      </w:r>
      <w:r w:rsidR="00B71607" w:rsidRPr="00B71607">
        <w:t xml:space="preserve"> </w:t>
      </w:r>
      <w:r>
        <w:t>having</w:t>
      </w:r>
      <w:r w:rsidR="00B71607" w:rsidRPr="00B71607">
        <w:t xml:space="preserve"> </w:t>
      </w:r>
      <w:r>
        <w:t>perpetual</w:t>
      </w:r>
      <w:r w:rsidR="00B71607" w:rsidRPr="00B71607">
        <w:t xml:space="preserve"> </w:t>
      </w:r>
      <w:r>
        <w:t>FE</w:t>
      </w:r>
      <w:r w:rsidR="00B71607" w:rsidRPr="00B71607">
        <w:t xml:space="preserve"> </w:t>
      </w:r>
      <w:r>
        <w:t>excludes</w:t>
      </w:r>
      <w:r w:rsidR="00B71607" w:rsidRPr="00B71607">
        <w:t xml:space="preserve"> </w:t>
      </w:r>
      <w:r>
        <w:t>most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former’s</w:t>
      </w:r>
      <w:r w:rsidR="00B71607" w:rsidRPr="00B71607">
        <w:t xml:space="preserve"> </w:t>
      </w:r>
      <w:r>
        <w:t>analysis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start.</w:t>
      </w:r>
      <w:r w:rsidR="00B71607" w:rsidRPr="00B71607">
        <w:t xml:space="preserve"> </w:t>
      </w:r>
      <w:r>
        <w:t>Further,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analysis</w:t>
      </w:r>
      <w:r w:rsidR="00B71607" w:rsidRPr="00B71607">
        <w:t xml:space="preserve"> </w:t>
      </w:r>
      <w:r>
        <w:t>had</w:t>
      </w:r>
      <w:r w:rsidR="00B71607" w:rsidRPr="00B71607">
        <w:t xml:space="preserve"> </w:t>
      </w:r>
      <w:r>
        <w:t>some</w:t>
      </w:r>
      <w:r w:rsidR="00B71607" w:rsidRPr="00B71607">
        <w:t xml:space="preserve"> </w:t>
      </w:r>
      <w:r>
        <w:t>normative</w:t>
      </w:r>
      <w:r w:rsidR="00B71607" w:rsidRPr="00B71607">
        <w:t xml:space="preserve"> </w:t>
      </w:r>
      <w:r>
        <w:t>content</w:t>
      </w:r>
      <w:r w:rsidR="00B71607" w:rsidRPr="00B71607">
        <w:t xml:space="preserve"> </w:t>
      </w:r>
      <w:r>
        <w:t>(e.g.,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defining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“proper”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desired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growth),</w:t>
      </w:r>
      <w:r>
        <w:rPr>
          <w:rStyle w:val="EndnoteReference"/>
        </w:rPr>
        <w:endnoteReference w:id="3"/>
      </w:r>
      <w:r w:rsidR="00B71607" w:rsidRPr="00B71607">
        <w:t xml:space="preserve"> </w:t>
      </w:r>
      <w:r>
        <w:t>his</w:t>
      </w:r>
      <w:r w:rsidR="00B71607" w:rsidRPr="00B71607">
        <w:t xml:space="preserve"> </w:t>
      </w:r>
      <w:r>
        <w:t>main</w:t>
      </w:r>
      <w:r w:rsidR="00B71607" w:rsidRPr="00B71607">
        <w:t xml:space="preserve"> </w:t>
      </w:r>
      <w:r>
        <w:t>aim</w:t>
      </w:r>
      <w:r w:rsidR="00B71607" w:rsidRPr="00B71607">
        <w:t xml:space="preserve"> </w:t>
      </w:r>
      <w:r>
        <w:t>was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develop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positive</w:t>
      </w:r>
      <w:r w:rsidR="00B71607" w:rsidRPr="00B71607">
        <w:t xml:space="preserve"> </w:t>
      </w:r>
      <w:r>
        <w:t>theory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dynamic</w:t>
      </w:r>
      <w:r w:rsidR="00B71607" w:rsidRPr="00B71607">
        <w:t xml:space="preserve"> </w:t>
      </w:r>
      <w:r>
        <w:t>macroeconomic</w:t>
      </w:r>
      <w:r w:rsidR="00B71607" w:rsidRPr="00B71607">
        <w:t xml:space="preserve"> </w:t>
      </w:r>
      <w:r>
        <w:t>supply/demand</w:t>
      </w:r>
      <w:r w:rsidR="00B71607" w:rsidRPr="00B71607">
        <w:t xml:space="preserve"> </w:t>
      </w:r>
      <w:r>
        <w:t>relations.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contrasts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highly</w:t>
      </w:r>
      <w:r w:rsidR="00B71607" w:rsidRPr="00B71607">
        <w:t xml:space="preserve"> </w:t>
      </w:r>
      <w:r>
        <w:t>unrealistic</w:t>
      </w:r>
      <w:r w:rsidR="00B71607" w:rsidRPr="00B71607">
        <w:t xml:space="preserve"> </w:t>
      </w:r>
      <w:r>
        <w:t>assumptions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make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models</w:t>
      </w:r>
      <w:r w:rsidR="00B71607" w:rsidRPr="00B71607">
        <w:t xml:space="preserve"> </w:t>
      </w:r>
      <w:r>
        <w:t>almost</w:t>
      </w:r>
      <w:r w:rsidR="00B71607" w:rsidRPr="00B71607">
        <w:t xml:space="preserve"> </w:t>
      </w:r>
      <w:r>
        <w:t>purely</w:t>
      </w:r>
      <w:r w:rsidR="00B71607" w:rsidRPr="00B71607">
        <w:t xml:space="preserve"> </w:t>
      </w:r>
      <w:r>
        <w:t>normative</w:t>
      </w:r>
      <w:r w:rsidR="00B71607" w:rsidRPr="00B71607">
        <w:t xml:space="preserve"> </w:t>
      </w:r>
      <w:r>
        <w:t>(considering</w:t>
      </w:r>
      <w:r w:rsidR="00B71607" w:rsidRPr="00B71607">
        <w:t xml:space="preserve"> </w:t>
      </w:r>
      <w:r>
        <w:t>such</w:t>
      </w:r>
      <w:r w:rsidR="00B71607" w:rsidRPr="00B71607">
        <w:t xml:space="preserve"> </w:t>
      </w:r>
      <w:r>
        <w:t>issues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“Golden</w:t>
      </w:r>
      <w:r w:rsidR="00B71607" w:rsidRPr="00B71607">
        <w:t xml:space="preserve"> </w:t>
      </w:r>
      <w:r>
        <w:t>Age”</w:t>
      </w:r>
      <w:r w:rsidR="00B71607" w:rsidRPr="00B71607">
        <w:t xml:space="preserve"> </w:t>
      </w:r>
      <w:r>
        <w:t>growth),</w:t>
      </w:r>
      <w:r w:rsidR="00B71607" w:rsidRPr="00B71607">
        <w:t xml:space="preserve"> </w:t>
      </w:r>
      <w:r>
        <w:t>strongly</w:t>
      </w:r>
      <w:r w:rsidR="00B71607" w:rsidRPr="00B71607">
        <w:t xml:space="preserve"> </w:t>
      </w:r>
      <w:r>
        <w:t>leaning</w:t>
      </w:r>
      <w:r w:rsidR="00B71607" w:rsidRPr="00B71607">
        <w:t xml:space="preserve"> </w:t>
      </w:r>
      <w:r>
        <w:t>away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positive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empirical</w:t>
      </w:r>
      <w:r w:rsidR="00B71607" w:rsidRPr="00B71607">
        <w:t xml:space="preserve"> </w:t>
      </w:r>
      <w:r>
        <w:t>topics.</w:t>
      </w:r>
      <w:r>
        <w:rPr>
          <w:rStyle w:val="EndnoteReference"/>
        </w:rPr>
        <w:endnoteReference w:id="4"/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 w:rsidR="0052647F">
        <w:t xml:space="preserve">explains </w:t>
      </w:r>
      <w:r>
        <w:t>why</w:t>
      </w:r>
      <w:r w:rsidR="00B71607" w:rsidRPr="00B71607">
        <w:t xml:space="preserve"> </w:t>
      </w:r>
      <w:r>
        <w:t>so</w:t>
      </w:r>
      <w:r w:rsidR="00B71607" w:rsidRPr="00B71607">
        <w:t xml:space="preserve"> </w:t>
      </w:r>
      <w:r>
        <w:t>many</w:t>
      </w:r>
      <w:r w:rsidR="00B71607" w:rsidRPr="00B71607">
        <w:t xml:space="preserve"> </w:t>
      </w:r>
      <w:r>
        <w:t>early</w:t>
      </w:r>
      <w:r w:rsidR="00B71607" w:rsidRPr="00B71607">
        <w:t xml:space="preserve"> </w:t>
      </w:r>
      <w:r>
        <w:t>articles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genre</w:t>
      </w:r>
      <w:r w:rsidR="00B71607" w:rsidRPr="00B71607">
        <w:t xml:space="preserve"> </w:t>
      </w:r>
      <w:r>
        <w:t>referred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models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“parables”</w:t>
      </w:r>
      <w:r w:rsidR="0052647F">
        <w:t xml:space="preserve"> and the like</w:t>
      </w:r>
      <w:r>
        <w:t>;</w:t>
      </w:r>
      <w:r w:rsidR="00B71607" w:rsidRPr="00B71607">
        <w:t xml:space="preserve"> </w:t>
      </w:r>
      <w:r>
        <w:t>their</w:t>
      </w:r>
      <w:r w:rsidR="00B71607" w:rsidRPr="00B71607">
        <w:t xml:space="preserve"> </w:t>
      </w:r>
      <w:r>
        <w:t>authors</w:t>
      </w:r>
      <w:r w:rsidR="00B71607" w:rsidRPr="00B71607">
        <w:t xml:space="preserve"> </w:t>
      </w:r>
      <w:r>
        <w:t>had</w:t>
      </w:r>
      <w:r w:rsidR="00B71607" w:rsidRPr="00B71607">
        <w:t xml:space="preserve"> </w:t>
      </w:r>
      <w:r>
        <w:t>no</w:t>
      </w:r>
      <w:r w:rsidR="00B71607" w:rsidRPr="00B71607">
        <w:t xml:space="preserve"> </w:t>
      </w:r>
      <w:r>
        <w:t>pretenses</w:t>
      </w:r>
      <w:r w:rsidR="00B71607" w:rsidRPr="00B71607">
        <w:t xml:space="preserve"> </w:t>
      </w:r>
      <w:r>
        <w:t>about</w:t>
      </w:r>
      <w:r w:rsidR="00B71607" w:rsidRPr="00B71607">
        <w:t xml:space="preserve"> </w:t>
      </w:r>
      <w:r>
        <w:t>descri</w:t>
      </w:r>
      <w:r>
        <w:t>b</w:t>
      </w:r>
      <w:r>
        <w:t>ing</w:t>
      </w:r>
      <w:r w:rsidR="00B71607" w:rsidRPr="00B71607">
        <w:t xml:space="preserve"> </w:t>
      </w:r>
      <w:r>
        <w:t>reality.</w:t>
      </w:r>
    </w:p>
    <w:p w:rsidR="006B3DED" w:rsidRPr="001946E5" w:rsidRDefault="0052647F" w:rsidP="006B3DED">
      <w:pPr>
        <w:spacing w:line="240" w:lineRule="auto"/>
      </w:pPr>
      <w:r>
        <w:t xml:space="preserve">Unlike </w:t>
      </w:r>
      <w:r w:rsidR="006B3DED">
        <w:t>the</w:t>
      </w:r>
      <w:r w:rsidR="00B71607" w:rsidRPr="00B71607">
        <w:t xml:space="preserve"> </w:t>
      </w:r>
      <w:r w:rsidR="006B3DED">
        <w:t>NC</w:t>
      </w:r>
      <w:r w:rsidR="00B71607" w:rsidRPr="00B71607">
        <w:t xml:space="preserve"> </w:t>
      </w:r>
      <w:r w:rsidR="006B3DED">
        <w:t>tradition,</w:t>
      </w:r>
      <w:r w:rsidR="00B71607" w:rsidRPr="00B71607">
        <w:t xml:space="preserve"> </w:t>
      </w:r>
      <w:r w:rsidR="006B3DED">
        <w:t>remember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Keynesian</w:t>
      </w:r>
      <w:r w:rsidR="00B71607" w:rsidRPr="00B71607">
        <w:t xml:space="preserve"> </w:t>
      </w:r>
      <w:r w:rsidR="006B3DED">
        <w:t>models</w:t>
      </w:r>
      <w:r w:rsidR="00B71607" w:rsidRPr="00B71607">
        <w:t xml:space="preserve"> </w:t>
      </w:r>
      <w:r w:rsidR="006B3DED">
        <w:t>concern</w:t>
      </w:r>
      <w:r w:rsidR="00B71607" w:rsidRPr="00B71607">
        <w:t xml:space="preserve"> </w:t>
      </w:r>
      <w:r w:rsidR="006B3DED">
        <w:t>fluctuations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ge</w:t>
      </w:r>
      <w:r w:rsidR="006B3DED">
        <w:t>n</w:t>
      </w:r>
      <w:r w:rsidR="006B3DED">
        <w:t>eral</w:t>
      </w:r>
      <w:r w:rsidR="00B71607" w:rsidRPr="00B71607">
        <w:t xml:space="preserve"> </w:t>
      </w:r>
      <w:r w:rsidR="006B3DED">
        <w:t>degree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factor</w:t>
      </w:r>
      <w:r w:rsidR="00B71607" w:rsidRPr="00B71607">
        <w:t xml:space="preserve"> </w:t>
      </w:r>
      <w:r w:rsidR="006B3DED">
        <w:t>utilization,</w:t>
      </w:r>
      <w:r w:rsidR="00B71607" w:rsidRPr="00B71607">
        <w:t xml:space="preserve"> </w:t>
      </w:r>
      <w:r w:rsidR="006B3DED">
        <w:t>from</w:t>
      </w:r>
      <w:r w:rsidR="00B71607" w:rsidRPr="00B71607">
        <w:t xml:space="preserve"> </w:t>
      </w:r>
      <w:r w:rsidR="006B3DED">
        <w:t>extreme</w:t>
      </w:r>
      <w:r w:rsidR="00B71607" w:rsidRPr="00B71607">
        <w:t xml:space="preserve"> </w:t>
      </w:r>
      <w:r w:rsidR="006B3DED">
        <w:t>underemployment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both</w:t>
      </w:r>
      <w:r w:rsidR="00B71607" w:rsidRPr="00B71607">
        <w:t xml:space="preserve"> </w:t>
      </w:r>
      <w:r w:rsidR="006B3DED">
        <w:t>labor-power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t>fixed</w:t>
      </w:r>
      <w:r w:rsidR="00B71607" w:rsidRPr="00B71607">
        <w:t xml:space="preserve"> </w:t>
      </w:r>
      <w:r w:rsidR="006B3DED">
        <w:t>capital</w:t>
      </w:r>
      <w:r w:rsidR="00B71607" w:rsidRPr="00B71607">
        <w:t xml:space="preserve"> </w:t>
      </w:r>
      <w:r w:rsidR="006B3DED">
        <w:t>goods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their</w:t>
      </w:r>
      <w:r w:rsidR="00B71607" w:rsidRPr="00B71607">
        <w:t xml:space="preserve"> </w:t>
      </w:r>
      <w:r w:rsidR="006B3DED">
        <w:t>over-use</w:t>
      </w:r>
      <w:r w:rsidR="00B71607" w:rsidRPr="00B71607">
        <w:t xml:space="preserve"> </w:t>
      </w:r>
      <w:r w:rsidR="006B3DED">
        <w:t>above</w:t>
      </w:r>
      <w:r w:rsidR="00B71607" w:rsidRPr="00B71607">
        <w:t xml:space="preserve"> </w:t>
      </w:r>
      <w:r w:rsidR="006B3DED">
        <w:t>FE.</w:t>
      </w:r>
      <w:r w:rsidR="006B3DED" w:rsidRPr="00590252">
        <w:rPr>
          <w:rStyle w:val="EndnoteReference"/>
          <w:smallCaps/>
        </w:rPr>
        <w:endnoteReference w:id="5"/>
      </w:r>
      <w:r w:rsidR="00B71607" w:rsidRPr="00B71607">
        <w:t xml:space="preserve"> </w:t>
      </w:r>
      <w:r w:rsidR="006B3DED">
        <w:t>Keynes’</w:t>
      </w:r>
      <w:r w:rsidR="00B71607" w:rsidRPr="00B71607">
        <w:t xml:space="preserve"> </w:t>
      </w:r>
      <w:r w:rsidR="006B3DED">
        <w:t>theory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called</w:t>
      </w:r>
      <w:r w:rsidR="00B71607" w:rsidRPr="00B71607">
        <w:t xml:space="preserve"> </w:t>
      </w:r>
      <w:r w:rsidR="006B3DED">
        <w:t>a</w:t>
      </w:r>
      <w:r w:rsidR="00B71607" w:rsidRPr="00B71607">
        <w:t xml:space="preserve"> </w:t>
      </w:r>
      <w:r w:rsidR="006B3DED">
        <w:t>“general”</w:t>
      </w:r>
      <w:r w:rsidR="00B71607" w:rsidRPr="00B71607">
        <w:t xml:space="preserve"> </w:t>
      </w:r>
      <w:r w:rsidR="006B3DED">
        <w:t>one</w:t>
      </w:r>
      <w:r w:rsidR="00B71607" w:rsidRPr="00B71607">
        <w:t xml:space="preserve"> </w:t>
      </w:r>
      <w:r w:rsidR="006B3DED">
        <w:t>b</w:t>
      </w:r>
      <w:r w:rsidR="006B3DED">
        <w:t>e</w:t>
      </w:r>
      <w:r w:rsidR="006B3DED">
        <w:t>cause</w:t>
      </w:r>
      <w:r w:rsidR="00B71607" w:rsidRPr="00B71607">
        <w:t xml:space="preserve"> </w:t>
      </w:r>
      <w:r w:rsidR="006B3DED">
        <w:t>its</w:t>
      </w:r>
      <w:r w:rsidR="00B71607" w:rsidRPr="00B71607">
        <w:t xml:space="preserve"> </w:t>
      </w:r>
      <w:r w:rsidR="006B3DED">
        <w:t>application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not</w:t>
      </w:r>
      <w:r w:rsidR="00B71607" w:rsidRPr="00B71607">
        <w:t xml:space="preserve"> </w:t>
      </w:r>
      <w:r w:rsidR="006B3DED">
        <w:t>restricted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special</w:t>
      </w:r>
      <w:r w:rsidR="00B71607" w:rsidRPr="00B71607">
        <w:t xml:space="preserve"> </w:t>
      </w:r>
      <w:r w:rsidR="006B3DED">
        <w:t>case</w:t>
      </w:r>
      <w:r w:rsidR="00B71607" w:rsidRPr="00B71607">
        <w:t xml:space="preserve"> </w:t>
      </w:r>
      <w:r w:rsidR="006B3DED">
        <w:t>where</w:t>
      </w:r>
      <w:r w:rsidR="00B71607" w:rsidRPr="00B71607">
        <w:t xml:space="preserve"> </w:t>
      </w:r>
      <w:r w:rsidR="006B3DED">
        <w:t>both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aggregate</w:t>
      </w:r>
      <w:r w:rsidR="00B71607" w:rsidRPr="00B71607">
        <w:t xml:space="preserve"> </w:t>
      </w:r>
      <w:r w:rsidR="006B3DED">
        <w:t>real</w:t>
      </w:r>
      <w:r w:rsidR="00B71607" w:rsidRPr="00B71607">
        <w:t xml:space="preserve"> </w:t>
      </w:r>
      <w:r w:rsidR="006B3DED">
        <w:t>net</w:t>
      </w:r>
      <w:r w:rsidR="00B71607" w:rsidRPr="00B71607">
        <w:t xml:space="preserve"> </w:t>
      </w:r>
      <w:r w:rsidR="006B3DED">
        <w:t>domestic</w:t>
      </w:r>
      <w:r w:rsidR="00B71607" w:rsidRPr="00B71607">
        <w:t xml:space="preserve"> </w:t>
      </w:r>
      <w:r w:rsidR="006B3DED">
        <w:t>product</w:t>
      </w:r>
      <w:r w:rsidR="00B71607" w:rsidRPr="00B71607">
        <w:t xml:space="preserve"> </w:t>
      </w:r>
      <w:r w:rsidR="006B3DED">
        <w:t>demanded</w:t>
      </w:r>
      <w:r w:rsidR="00B71607" w:rsidRPr="00B71607">
        <w:t xml:space="preserve"> </w:t>
      </w:r>
      <w:r w:rsidR="006B3DED">
        <w:t>(</w:t>
      </w:r>
      <w:r w:rsidR="006B3DED">
        <w:rPr>
          <w:b/>
        </w:rPr>
        <w:t>D</w:t>
      </w:r>
      <w:r w:rsidR="006B3DED">
        <w:t>)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amount</w:t>
      </w:r>
      <w:r w:rsidR="00B71607" w:rsidRPr="00B71607">
        <w:t xml:space="preserve"> </w:t>
      </w:r>
      <w:r w:rsidR="006B3DED">
        <w:t>actually</w:t>
      </w:r>
      <w:r w:rsidR="00B71607" w:rsidRPr="00B71607">
        <w:t xml:space="preserve"> </w:t>
      </w:r>
      <w:r w:rsidR="006B3DED">
        <w:t>produced</w:t>
      </w:r>
      <w:r w:rsidR="00B71607" w:rsidRPr="00B71607">
        <w:t xml:space="preserve"> </w:t>
      </w:r>
      <w:r w:rsidR="006B3DED">
        <w:t>(</w:t>
      </w:r>
      <w:r w:rsidR="006B3DED">
        <w:rPr>
          <w:b/>
        </w:rPr>
        <w:t>Y</w:t>
      </w:r>
      <w:r w:rsidR="006B3DED">
        <w:t>)</w:t>
      </w:r>
      <w:r w:rsidR="00B71607" w:rsidRPr="00B71607">
        <w:t xml:space="preserve"> </w:t>
      </w:r>
      <w:r w:rsidR="006B3DED">
        <w:t>equal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level</w:t>
      </w:r>
      <w:r w:rsidR="00B71607" w:rsidRPr="00B71607">
        <w:t xml:space="preserve"> </w:t>
      </w:r>
      <w:r w:rsidR="00255C5A">
        <w:t xml:space="preserve">of </w:t>
      </w:r>
      <w:r w:rsidR="006B3DED">
        <w:t>output</w:t>
      </w:r>
      <w:r w:rsidR="00B71607" w:rsidRPr="00B71607">
        <w:t xml:space="preserve"> </w:t>
      </w:r>
      <w:r w:rsidR="00255C5A">
        <w:t xml:space="preserve">at FE </w:t>
      </w:r>
      <w:r w:rsidR="006B3DED">
        <w:t>(</w:t>
      </w:r>
      <w:r w:rsidR="006B3DED">
        <w:rPr>
          <w:b/>
        </w:rPr>
        <w:t>F</w:t>
      </w:r>
      <w:r w:rsidR="006B3DED">
        <w:t>).</w:t>
      </w:r>
      <w:r w:rsidR="00B71607" w:rsidRPr="00B71607">
        <w:t xml:space="preserve"> </w:t>
      </w:r>
      <w:r w:rsidR="006B3DED">
        <w:t>Further,</w:t>
      </w:r>
      <w:r w:rsidR="00B71607" w:rsidRPr="00B71607">
        <w:t xml:space="preserve"> </w:t>
      </w:r>
      <w:r w:rsidR="006B3DED">
        <w:t>having</w:t>
      </w:r>
      <w:r w:rsidR="00B71607" w:rsidRPr="00B71607">
        <w:t xml:space="preserve"> </w:t>
      </w:r>
      <w:r w:rsidR="006B3DED">
        <w:t>encountered</w:t>
      </w:r>
      <w:r w:rsidR="00B71607" w:rsidRPr="00B71607">
        <w:t xml:space="preserve"> </w:t>
      </w:r>
      <w:r w:rsidR="006B3DED">
        <w:t>such</w:t>
      </w:r>
      <w:r w:rsidR="00B71607" w:rsidRPr="00B71607">
        <w:t xml:space="preserve"> </w:t>
      </w:r>
      <w:r w:rsidR="006B3DED">
        <w:t>conditions</w:t>
      </w:r>
      <w:r w:rsidR="00B71607" w:rsidRPr="00B71607">
        <w:t xml:space="preserve"> </w:t>
      </w:r>
      <w:r w:rsidR="006B3DED">
        <w:t>during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Great</w:t>
      </w:r>
      <w:r w:rsidR="00B71607" w:rsidRPr="00B71607">
        <w:t xml:space="preserve"> </w:t>
      </w:r>
      <w:r w:rsidR="006B3DED">
        <w:t>Depression</w:t>
      </w:r>
      <w:r w:rsidR="00B71607" w:rsidRPr="00B71607">
        <w:t xml:space="preserve"> </w:t>
      </w:r>
      <w:r w:rsidR="006B3DED">
        <w:t>(which</w:t>
      </w:r>
      <w:r w:rsidR="00B71607" w:rsidRPr="00B71607">
        <w:t xml:space="preserve"> </w:t>
      </w:r>
      <w:r w:rsidR="006B3DED">
        <w:t>was</w:t>
      </w:r>
      <w:r w:rsidR="00B71607" w:rsidRPr="00B71607">
        <w:t xml:space="preserve"> </w:t>
      </w:r>
      <w:r w:rsidR="006B3DED">
        <w:t>ending</w:t>
      </w:r>
      <w:r w:rsidR="00B71607" w:rsidRPr="00B71607">
        <w:t xml:space="preserve"> </w:t>
      </w:r>
      <w:r w:rsidR="006B3DED">
        <w:t>as</w:t>
      </w:r>
      <w:r w:rsidR="00B71607" w:rsidRPr="00B71607">
        <w:t xml:space="preserve"> </w:t>
      </w:r>
      <w:r w:rsidR="006B3DED" w:rsidRPr="00D4213A">
        <w:rPr>
          <w:noProof/>
        </w:rPr>
        <w:t>Harrod</w:t>
      </w:r>
      <w:r w:rsidR="00B71607" w:rsidRPr="00B71607">
        <w:t xml:space="preserve"> </w:t>
      </w:r>
      <w:r w:rsidR="006B3DED">
        <w:t>wrote),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original</w:t>
      </w:r>
      <w:r w:rsidR="00B71607" w:rsidRPr="00B71607">
        <w:t xml:space="preserve"> </w:t>
      </w:r>
      <w:r w:rsidR="006B3DED">
        <w:t>Keynesians</w:t>
      </w:r>
      <w:r w:rsidR="00B71607" w:rsidRPr="00B71607">
        <w:t xml:space="preserve"> </w:t>
      </w:r>
      <w:r w:rsidR="006B3DED">
        <w:t>often</w:t>
      </w:r>
      <w:r w:rsidR="00B71607" w:rsidRPr="00B71607">
        <w:t xml:space="preserve"> </w:t>
      </w:r>
      <w:r w:rsidR="006B3DED">
        <w:t>assumed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interest</w:t>
      </w:r>
      <w:r w:rsidR="00B71607" w:rsidRPr="00B71607">
        <w:t xml:space="preserve"> </w:t>
      </w:r>
      <w:r w:rsidR="006B3DED">
        <w:t>rates</w:t>
      </w:r>
      <w:r w:rsidR="00B71607" w:rsidRPr="00B71607">
        <w:t xml:space="preserve"> </w:t>
      </w:r>
      <w:r w:rsidR="006B3DED">
        <w:t>were</w:t>
      </w:r>
      <w:r w:rsidR="00B71607" w:rsidRPr="00B71607">
        <w:t xml:space="preserve"> </w:t>
      </w:r>
      <w:r w:rsidR="006B3DED">
        <w:t>mostly</w:t>
      </w:r>
      <w:r w:rsidR="00B71607" w:rsidRPr="00B71607">
        <w:t xml:space="preserve"> </w:t>
      </w:r>
      <w:r w:rsidR="006B3DED">
        <w:t>unresponsive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monetary</w:t>
      </w:r>
      <w:r w:rsidR="00B71607" w:rsidRPr="00B71607">
        <w:t xml:space="preserve"> </w:t>
      </w:r>
      <w:r w:rsidR="006B3DED">
        <w:t>conditions</w:t>
      </w:r>
      <w:r w:rsidR="00B71607" w:rsidRPr="00B71607">
        <w:t xml:space="preserve"> </w:t>
      </w:r>
      <w:r w:rsidR="006B3DED">
        <w:t>and/or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spending</w:t>
      </w:r>
      <w:r w:rsidR="00B71607" w:rsidRPr="00B71607">
        <w:t xml:space="preserve"> </w:t>
      </w:r>
      <w:r w:rsidR="006B3DED">
        <w:t>was</w:t>
      </w:r>
      <w:r w:rsidR="00B71607" w:rsidRPr="00B71607">
        <w:t xml:space="preserve"> </w:t>
      </w:r>
      <w:r>
        <w:t xml:space="preserve">usually </w:t>
      </w:r>
      <w:r w:rsidR="006B3DED">
        <w:t>insensitive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interest-rate</w:t>
      </w:r>
      <w:r w:rsidR="00B71607" w:rsidRPr="00B71607">
        <w:t xml:space="preserve"> </w:t>
      </w:r>
      <w:r w:rsidR="006B3DED">
        <w:t>changes.</w:t>
      </w:r>
      <w:r w:rsidR="006B3DED" w:rsidRPr="00755FE2">
        <w:rPr>
          <w:rStyle w:val="EndnoteReference"/>
          <w:smallCaps/>
        </w:rPr>
        <w:endnoteReference w:id="6"/>
      </w:r>
      <w:r w:rsidR="00B71607" w:rsidRPr="00B71607">
        <w:t xml:space="preserve"> </w:t>
      </w:r>
      <w:r w:rsidR="006B3DED">
        <w:t>Since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“Keynes</w:t>
      </w:r>
      <w:r w:rsidR="00B71607" w:rsidRPr="00B71607">
        <w:t xml:space="preserve"> </w:t>
      </w:r>
      <w:r w:rsidR="006B3DED">
        <w:t>effect”</w:t>
      </w:r>
      <w:r w:rsidR="00B71607" w:rsidRPr="00B71607">
        <w:t xml:space="preserve"> </w:t>
      </w:r>
      <w:r w:rsidR="006B3DED">
        <w:t>(with</w:t>
      </w:r>
      <w:r w:rsidR="00B71607" w:rsidRPr="00B71607">
        <w:t xml:space="preserve"> </w:t>
      </w:r>
      <w:r w:rsidR="006B3DED">
        <w:t>falling</w:t>
      </w:r>
      <w:r w:rsidR="00B71607" w:rsidRPr="00B71607">
        <w:t xml:space="preserve"> </w:t>
      </w:r>
      <w:r w:rsidR="006B3DED">
        <w:t>prices</w:t>
      </w:r>
      <w:r w:rsidR="00B71607" w:rsidRPr="00B71607">
        <w:t xml:space="preserve"> </w:t>
      </w:r>
      <w:r w:rsidR="006B3DED">
        <w:t>causing</w:t>
      </w:r>
      <w:r w:rsidR="00B71607" w:rsidRPr="00B71607">
        <w:t xml:space="preserve"> </w:t>
      </w:r>
      <w:r w:rsidR="006B3DED" w:rsidRPr="00865CCB">
        <w:rPr>
          <w:b/>
        </w:rPr>
        <w:t>D</w:t>
      </w:r>
      <w:r w:rsidR="00B71607" w:rsidRPr="00B71607">
        <w:t xml:space="preserve"> </w:t>
      </w:r>
      <w:r w:rsidR="006B3DED">
        <w:t>and</w:t>
      </w:r>
      <w:r w:rsidR="00B71607" w:rsidRPr="00B71607">
        <w:t xml:space="preserve"> </w:t>
      </w:r>
      <w:r w:rsidR="006B3DED">
        <w:rPr>
          <w:b/>
        </w:rPr>
        <w:t>Y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increase)</w:t>
      </w:r>
      <w:r w:rsidR="00B71607" w:rsidRPr="00B71607">
        <w:t xml:space="preserve"> </w:t>
      </w:r>
      <w:r w:rsidR="006B3DED">
        <w:t>could</w:t>
      </w:r>
      <w:r w:rsidR="00B71607" w:rsidRPr="00B71607">
        <w:t xml:space="preserve"> </w:t>
      </w:r>
      <w:r w:rsidR="006B3DED">
        <w:t>only</w:t>
      </w:r>
      <w:r w:rsidR="00B71607" w:rsidRPr="00B71607">
        <w:t xml:space="preserve"> </w:t>
      </w:r>
      <w:r w:rsidR="006B3DED">
        <w:t>be</w:t>
      </w:r>
      <w:r w:rsidR="00B71607" w:rsidRPr="00B71607">
        <w:t xml:space="preserve"> </w:t>
      </w:r>
      <w:r w:rsidR="006B3DED">
        <w:t>expressed</w:t>
      </w:r>
      <w:r w:rsidR="00B71607" w:rsidRPr="00B71607">
        <w:t xml:space="preserve"> </w:t>
      </w:r>
      <w:r w:rsidR="006B3DED">
        <w:t>via</w:t>
      </w:r>
      <w:r w:rsidR="00B71607" w:rsidRPr="00B71607">
        <w:t xml:space="preserve"> </w:t>
      </w:r>
      <w:r w:rsidR="006B3DED">
        <w:t>interest-rate</w:t>
      </w:r>
      <w:r w:rsidR="00B71607" w:rsidRPr="00B71607">
        <w:t xml:space="preserve"> </w:t>
      </w:r>
      <w:r w:rsidR="006B3DED">
        <w:t>changes,</w:t>
      </w:r>
      <w:r w:rsidR="00B71607" w:rsidRPr="00B71607">
        <w:t xml:space="preserve"> </w:t>
      </w:r>
      <w:r w:rsidR="006B3DED">
        <w:t>Keynesians</w:t>
      </w:r>
      <w:r w:rsidR="00B71607" w:rsidRPr="00B71607">
        <w:t xml:space="preserve"> </w:t>
      </w:r>
      <w:r w:rsidR="006B3DED">
        <w:t>rejected</w:t>
      </w:r>
      <w:r w:rsidR="00B71607" w:rsidRPr="00B71607">
        <w:t xml:space="preserve"> </w:t>
      </w:r>
      <w:r w:rsidR="006B3DED">
        <w:t>its</w:t>
      </w:r>
      <w:r w:rsidR="00B71607" w:rsidRPr="00B71607">
        <w:t xml:space="preserve"> </w:t>
      </w:r>
      <w:r w:rsidR="006B3DED">
        <w:t>empirical</w:t>
      </w:r>
      <w:r w:rsidR="00B71607" w:rsidRPr="00B71607">
        <w:t xml:space="preserve"> </w:t>
      </w:r>
      <w:r w:rsidR="006B3DED">
        <w:t>relevance.</w:t>
      </w:r>
      <w:r w:rsidR="00B71607" w:rsidRPr="00B71607">
        <w:t xml:space="preserve"> </w:t>
      </w:r>
      <w:r w:rsidR="006B3DED">
        <w:t>Third,</w:t>
      </w:r>
      <w:r w:rsidR="00B71607" w:rsidRPr="00B71607">
        <w:t xml:space="preserve"> </w:t>
      </w:r>
      <w:r w:rsidR="006B3DED">
        <w:t>perhaps</w:t>
      </w:r>
      <w:r w:rsidR="00B71607" w:rsidRPr="00B71607">
        <w:t xml:space="preserve"> </w:t>
      </w:r>
      <w:r w:rsidR="006B3DED">
        <w:t>remembering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disastrous</w:t>
      </w:r>
      <w:r w:rsidR="00B71607" w:rsidRPr="00B71607">
        <w:t xml:space="preserve"> </w:t>
      </w:r>
      <w:r w:rsidR="006B3DED">
        <w:t>results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deflation</w:t>
      </w:r>
      <w:r w:rsidR="00B71607" w:rsidRPr="00B71607">
        <w:t xml:space="preserve"> </w:t>
      </w:r>
      <w:r w:rsidR="006B3DED">
        <w:t>at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onset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Depression</w:t>
      </w:r>
      <w:r w:rsidR="00B71607" w:rsidRPr="00B71607">
        <w:t xml:space="preserve"> </w:t>
      </w:r>
      <w:r w:rsidR="006B3DED">
        <w:t>(cf.</w:t>
      </w:r>
      <w:r w:rsidR="00B71607" w:rsidRPr="00B71607">
        <w:t xml:space="preserve"> </w:t>
      </w:r>
      <w:r w:rsidR="006B3DED">
        <w:t>Fisher,</w:t>
      </w:r>
      <w:r w:rsidR="00B71607" w:rsidRPr="00B71607">
        <w:t xml:space="preserve"> </w:t>
      </w:r>
      <w:r w:rsidR="006B3DED">
        <w:t>1933;</w:t>
      </w:r>
      <w:r w:rsidR="00B71607" w:rsidRPr="00B71607">
        <w:t xml:space="preserve"> </w:t>
      </w:r>
      <w:r w:rsidR="006B3DED">
        <w:t>Tobin,</w:t>
      </w:r>
      <w:r w:rsidR="00B71607" w:rsidRPr="00B71607">
        <w:t xml:space="preserve"> </w:t>
      </w:r>
      <w:r w:rsidR="006B3DED">
        <w:t>1975),</w:t>
      </w:r>
      <w:r w:rsidR="00B71607" w:rsidRPr="00B71607">
        <w:t xml:space="preserve"> </w:t>
      </w:r>
      <w:r w:rsidR="006B3DED">
        <w:t>they</w:t>
      </w:r>
      <w:r w:rsidR="00B71607" w:rsidRPr="00B71607">
        <w:t xml:space="preserve"> </w:t>
      </w:r>
      <w:r w:rsidR="006B3DED">
        <w:t>also</w:t>
      </w:r>
      <w:r w:rsidR="00B71607" w:rsidRPr="00B71607">
        <w:t xml:space="preserve"> </w:t>
      </w:r>
      <w:r w:rsidR="006B3DED">
        <w:t>rejected</w:t>
      </w:r>
      <w:r w:rsidR="00B71607" w:rsidRPr="00B71607">
        <w:t xml:space="preserve"> </w:t>
      </w:r>
      <w:r w:rsidR="006B3DED">
        <w:t>real</w:t>
      </w:r>
      <w:r w:rsidR="00B71607" w:rsidRPr="00B71607">
        <w:t xml:space="preserve"> </w:t>
      </w:r>
      <w:r w:rsidR="006B3DED">
        <w:t>balance</w:t>
      </w:r>
      <w:r w:rsidR="00B71607" w:rsidRPr="00B71607">
        <w:t xml:space="preserve"> </w:t>
      </w:r>
      <w:r w:rsidR="006B3DED">
        <w:t>(Pigou)</w:t>
      </w:r>
      <w:r w:rsidR="00B71607" w:rsidRPr="00B71607">
        <w:t xml:space="preserve"> </w:t>
      </w:r>
      <w:r w:rsidR="006B3DED">
        <w:t>effects.</w:t>
      </w:r>
      <w:r w:rsidR="00B71607" w:rsidRPr="00B71607">
        <w:t xml:space="preserve"> </w:t>
      </w:r>
      <w:r w:rsidR="006B3DED">
        <w:t>Thus,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Keynesians,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main</w:t>
      </w:r>
      <w:r w:rsidR="00B71607" w:rsidRPr="00B71607">
        <w:t xml:space="preserve"> </w:t>
      </w:r>
      <w:r w:rsidR="006B3DED">
        <w:t>force</w:t>
      </w:r>
      <w:r w:rsidR="00B71607" w:rsidRPr="00B71607">
        <w:t xml:space="preserve"> </w:t>
      </w:r>
      <w:r w:rsidR="006B3DED">
        <w:t>for</w:t>
      </w:r>
      <w:r w:rsidR="00B71607" w:rsidRPr="00B71607">
        <w:t xml:space="preserve"> </w:t>
      </w:r>
      <w:r w:rsidR="006B3DED">
        <w:t>macroeconomic</w:t>
      </w:r>
      <w:r w:rsidR="00B71607" w:rsidRPr="00B71607">
        <w:t xml:space="preserve"> </w:t>
      </w:r>
      <w:r w:rsidR="006B3DED">
        <w:t>change,</w:t>
      </w:r>
      <w:r w:rsidR="00B71607" w:rsidRPr="00B71607">
        <w:t xml:space="preserve"> </w:t>
      </w:r>
      <w:r w:rsidR="006B3DED">
        <w:t>including</w:t>
      </w:r>
      <w:r w:rsidR="00B71607" w:rsidRPr="00B71607">
        <w:t xml:space="preserve"> </w:t>
      </w:r>
      <w:r w:rsidR="006B3DED">
        <w:t>equilibration,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quantity</w:t>
      </w:r>
      <w:r w:rsidR="00B71607" w:rsidRPr="00B71607">
        <w:t xml:space="preserve"> </w:t>
      </w:r>
      <w:r w:rsidR="006B3DED">
        <w:t>adjustment</w:t>
      </w:r>
      <w:r w:rsidR="00255C5A">
        <w:t xml:space="preserve"> (and not price adjustment)</w:t>
      </w:r>
      <w:r w:rsidR="006B3DED">
        <w:t>,</w:t>
      </w:r>
      <w:r w:rsidR="00B71607" w:rsidRPr="00B71607">
        <w:t xml:space="preserve"> </w:t>
      </w:r>
      <w:r w:rsidR="006B3DED">
        <w:t>except</w:t>
      </w:r>
      <w:r w:rsidR="00B71607" w:rsidRPr="00B71607">
        <w:t xml:space="preserve"> </w:t>
      </w:r>
      <w:r w:rsidR="006B3DED">
        <w:t>when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economy</w:t>
      </w:r>
      <w:r w:rsidR="00B71607" w:rsidRPr="00B71607">
        <w:t xml:space="preserve"> </w:t>
      </w:r>
      <w:r w:rsidR="006B3DED">
        <w:t>exceeds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“inflation</w:t>
      </w:r>
      <w:r w:rsidR="00B71607" w:rsidRPr="00B71607">
        <w:t xml:space="preserve"> </w:t>
      </w:r>
      <w:r w:rsidR="006B3DED">
        <w:t>barrier”</w:t>
      </w:r>
      <w:r w:rsidR="00B71607" w:rsidRPr="00B71607">
        <w:t xml:space="preserve"> </w:t>
      </w:r>
      <w:r w:rsidR="006B3DED">
        <w:t>(with</w:t>
      </w:r>
      <w:r w:rsidR="00B71607" w:rsidRPr="00B71607">
        <w:t xml:space="preserve"> </w:t>
      </w:r>
      <w:r w:rsidR="006B3DED">
        <w:rPr>
          <w:b/>
        </w:rPr>
        <w:t>Y</w:t>
      </w:r>
      <w:r w:rsidR="00B71607" w:rsidRPr="00B71607">
        <w:t xml:space="preserve"> </w:t>
      </w:r>
      <w:r w:rsidR="006B3DED">
        <w:t>&gt;</w:t>
      </w:r>
      <w:r w:rsidR="00B71607" w:rsidRPr="00B71607">
        <w:t xml:space="preserve"> </w:t>
      </w:r>
      <w:r w:rsidR="006B3DED">
        <w:rPr>
          <w:b/>
        </w:rPr>
        <w:t>F</w:t>
      </w:r>
      <w:r w:rsidR="00255C5A">
        <w:t xml:space="preserve">) </w:t>
      </w:r>
      <w:r>
        <w:t xml:space="preserve">in which case </w:t>
      </w:r>
      <w:r w:rsidR="00255C5A">
        <w:t>inflation soars.</w:t>
      </w:r>
      <w:r w:rsidR="00B71607" w:rsidRPr="00B71607">
        <w:t xml:space="preserve"> </w:t>
      </w:r>
    </w:p>
    <w:p w:rsidR="001C6B7F" w:rsidRDefault="006B3DED" w:rsidP="001C6B7F">
      <w:pPr>
        <w:spacing w:line="240" w:lineRule="auto"/>
      </w:pPr>
      <w:r>
        <w:t>When</w:t>
      </w:r>
      <w:r w:rsidR="00B71607" w:rsidRPr="00B71607">
        <w:t xml:space="preserve"> </w:t>
      </w:r>
      <w:r>
        <w:t>Solow</w:t>
      </w:r>
      <w:r w:rsidR="00B71607" w:rsidRPr="00B71607">
        <w:t xml:space="preserve"> </w:t>
      </w:r>
      <w:r>
        <w:t>(1956:</w:t>
      </w:r>
      <w:r w:rsidR="00B71607" w:rsidRPr="00B71607">
        <w:t xml:space="preserve"> </w:t>
      </w:r>
      <w:r>
        <w:t>66)</w:t>
      </w:r>
      <w:r w:rsidR="00B71607" w:rsidRPr="00B71607">
        <w:t xml:space="preserve"> </w:t>
      </w:r>
      <w:r>
        <w:t>remarked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both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rPr>
          <w:i/>
        </w:rPr>
        <w:t>Essay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related</w:t>
      </w:r>
      <w:r w:rsidR="00B71607" w:rsidRPr="00B71607">
        <w:t xml:space="preserve"> </w:t>
      </w:r>
      <w:r>
        <w:t>article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rPr>
          <w:noProof/>
        </w:rPr>
        <w:t>Domar</w:t>
      </w:r>
      <w:r w:rsidR="00B71607" w:rsidRPr="00B71607">
        <w:rPr>
          <w:noProof/>
        </w:rPr>
        <w:t xml:space="preserve"> </w:t>
      </w:r>
      <w:r>
        <w:rPr>
          <w:noProof/>
        </w:rPr>
        <w:t>(1946</w:t>
      </w:r>
      <w:r>
        <w:t>)</w:t>
      </w:r>
      <w:r w:rsidR="00B71607" w:rsidRPr="00B71607">
        <w:t xml:space="preserve"> </w:t>
      </w:r>
      <w:r>
        <w:t>consistently</w:t>
      </w:r>
      <w:r w:rsidR="00B71607" w:rsidRPr="00B71607">
        <w:t xml:space="preserve"> </w:t>
      </w:r>
      <w:r>
        <w:t>studied</w:t>
      </w:r>
      <w:r w:rsidR="00B71607" w:rsidRPr="00B71607">
        <w:t xml:space="preserve"> </w:t>
      </w:r>
      <w:r>
        <w:t>“long-run</w:t>
      </w:r>
      <w:r w:rsidR="00B71607" w:rsidRPr="00B71607">
        <w:t xml:space="preserve"> </w:t>
      </w:r>
      <w:r>
        <w:t>problems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usual</w:t>
      </w:r>
      <w:r w:rsidR="00B71607" w:rsidRPr="00B71607">
        <w:t xml:space="preserve"> </w:t>
      </w:r>
      <w:r w:rsidR="001C6B7F">
        <w:t xml:space="preserve">[i.e., Keynesian] </w:t>
      </w:r>
      <w:r>
        <w:t>short-run</w:t>
      </w:r>
      <w:r w:rsidR="00B71607" w:rsidRPr="00B71607">
        <w:t xml:space="preserve"> </w:t>
      </w:r>
      <w:r>
        <w:t>tools,”</w:t>
      </w:r>
      <w:r w:rsidR="00B71607" w:rsidRPr="00B71607">
        <w:t xml:space="preserve"> </w:t>
      </w:r>
      <w:r>
        <w:t>he</w:t>
      </w:r>
      <w:r w:rsidR="00B71607" w:rsidRPr="00B71607">
        <w:t xml:space="preserve"> </w:t>
      </w:r>
      <w:r>
        <w:t>revealed</w:t>
      </w:r>
      <w:r w:rsidR="00B71607" w:rsidRPr="00B71607">
        <w:t xml:space="preserve"> </w:t>
      </w:r>
      <w:r>
        <w:t>another</w:t>
      </w:r>
      <w:r w:rsidR="00B71607" w:rsidRPr="00B71607">
        <w:t xml:space="preserve"> </w:t>
      </w:r>
      <w:r>
        <w:t>profound</w:t>
      </w:r>
      <w:r w:rsidR="00B71607" w:rsidRPr="00B71607">
        <w:t xml:space="preserve"> </w:t>
      </w:r>
      <w:r>
        <w:t>division</w:t>
      </w:r>
      <w:r w:rsidR="00B71607" w:rsidRPr="00B71607">
        <w:t xml:space="preserve"> </w:t>
      </w:r>
      <w:r>
        <w:t>between</w:t>
      </w:r>
      <w:r w:rsidR="00B71607" w:rsidRPr="00B71607">
        <w:t xml:space="preserve"> </w:t>
      </w:r>
      <w:r w:rsidR="00255C5A">
        <w:t xml:space="preserve">the </w:t>
      </w:r>
      <w:r>
        <w:t>two</w:t>
      </w:r>
      <w:r w:rsidR="00B71607" w:rsidRPr="00B71607">
        <w:t xml:space="preserve"> </w:t>
      </w:r>
      <w:r>
        <w:t>visions,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meaning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="005A5248">
        <w:t xml:space="preserve">term </w:t>
      </w:r>
      <w:r>
        <w:t>“long</w:t>
      </w:r>
      <w:r w:rsidR="00B71607" w:rsidRPr="00B71607">
        <w:t xml:space="preserve"> </w:t>
      </w:r>
      <w:r>
        <w:t>run.”</w:t>
      </w:r>
      <w:r w:rsidR="0052647F">
        <w:t xml:space="preserve"> T</w:t>
      </w:r>
      <w:r>
        <w:t>o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school,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long-run</w:t>
      </w:r>
      <w:r w:rsidR="00B71607" w:rsidRPr="00B71607">
        <w:t xml:space="preserve"> </w:t>
      </w:r>
      <w:r w:rsidR="001C6B7F">
        <w:t xml:space="preserve">situation </w:t>
      </w:r>
      <w:r>
        <w:t>is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unique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exogenously-given</w:t>
      </w:r>
      <w:r w:rsidR="001C6B7F">
        <w:t xml:space="preserve"> equilibrium</w:t>
      </w:r>
      <w:r>
        <w:t>,</w:t>
      </w:r>
      <w:r w:rsidR="00B71607" w:rsidRPr="00B71607">
        <w:t xml:space="preserve"> </w:t>
      </w:r>
      <w:r w:rsidR="001C6B7F">
        <w:t xml:space="preserve">with what’s been </w:t>
      </w:r>
      <w:r>
        <w:t>called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“natural”</w:t>
      </w:r>
      <w:r w:rsidR="00B71607" w:rsidRPr="00B71607">
        <w:t xml:space="preserve"> </w:t>
      </w:r>
      <w:r>
        <w:t>level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output</w:t>
      </w:r>
      <w:r w:rsidR="00B71607" w:rsidRPr="00B71607">
        <w:t xml:space="preserve"> </w:t>
      </w:r>
      <w:r w:rsidR="004D7231">
        <w:t>(</w:t>
      </w:r>
      <w:r w:rsidR="000F472B">
        <w:t xml:space="preserve">a.k.a. </w:t>
      </w:r>
      <w:r>
        <w:t>potential</w:t>
      </w:r>
      <w:r w:rsidR="004D7231">
        <w:t>)</w:t>
      </w:r>
      <w:r w:rsidR="005A5248">
        <w:t xml:space="preserve"> which corresponds to the Friedman’s “natural” rate of unemployment (more scientifically </w:t>
      </w:r>
      <w:r w:rsidR="005A5248">
        <w:lastRenderedPageBreak/>
        <w:t>known as the NAIRU).</w:t>
      </w:r>
      <w:r w:rsidR="001C6B7F">
        <w:t xml:space="preserve"> This </w:t>
      </w:r>
      <w:r>
        <w:t>equilibrium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assumed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 w:rsidRPr="005F7767">
        <w:t>totally</w:t>
      </w:r>
      <w:r w:rsidR="00B71607" w:rsidRPr="00B71607">
        <w:t xml:space="preserve"> </w:t>
      </w:r>
      <w:r w:rsidRPr="005F7767">
        <w:t>independent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both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short-run</w:t>
      </w:r>
      <w:r w:rsidR="00B71607" w:rsidRPr="00B71607">
        <w:t xml:space="preserve"> </w:t>
      </w:r>
      <w:r>
        <w:t>situations</w:t>
      </w:r>
      <w:r w:rsidR="00B71607" w:rsidRPr="00B71607">
        <w:t xml:space="preserve"> </w:t>
      </w:r>
      <w:r w:rsidR="00E64D0F">
        <w:t xml:space="preserve">encountered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way</w:t>
      </w:r>
      <w:r w:rsidR="00B71607" w:rsidRPr="00B71607">
        <w:t xml:space="preserve"> </w:t>
      </w:r>
      <w:r>
        <w:t>there</w:t>
      </w:r>
      <w:r w:rsidR="00ED2BF3">
        <w:t xml:space="preserve"> </w:t>
      </w:r>
      <w:r w:rsidR="001C6B7F">
        <w:t>(as with Wicksell’s</w:t>
      </w:r>
      <w:r w:rsidR="001C6B7F" w:rsidRPr="00B71607">
        <w:t xml:space="preserve"> </w:t>
      </w:r>
      <w:r w:rsidR="001C6B7F">
        <w:t>“natural”</w:t>
      </w:r>
      <w:r w:rsidR="001C6B7F" w:rsidRPr="00B71607">
        <w:t xml:space="preserve"> </w:t>
      </w:r>
      <w:r w:rsidR="001C6B7F">
        <w:t>rate</w:t>
      </w:r>
      <w:r w:rsidR="001C6B7F" w:rsidRPr="00B71607">
        <w:t xml:space="preserve"> </w:t>
      </w:r>
      <w:r w:rsidR="001C6B7F">
        <w:t>of</w:t>
      </w:r>
      <w:r w:rsidR="001C6B7F" w:rsidRPr="00B71607">
        <w:t xml:space="preserve"> </w:t>
      </w:r>
      <w:r w:rsidR="001C6B7F">
        <w:t>i</w:t>
      </w:r>
      <w:r w:rsidR="001C6B7F">
        <w:t>n</w:t>
      </w:r>
      <w:r w:rsidR="001C6B7F">
        <w:t>terest)</w:t>
      </w:r>
      <w:r>
        <w:t>.</w:t>
      </w:r>
      <w:r w:rsidR="00B71607" w:rsidRPr="00B71607">
        <w:t xml:space="preserve"> </w:t>
      </w:r>
      <w:r w:rsidR="00CC698A">
        <w:t xml:space="preserve">The character of the long-run state </w:t>
      </w:r>
      <w:r>
        <w:t>is</w:t>
      </w:r>
      <w:r w:rsidR="00B71607" w:rsidRPr="00B71607">
        <w:t xml:space="preserve"> </w:t>
      </w:r>
      <w:r>
        <w:t>determined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exogenously-given</w:t>
      </w:r>
      <w:r w:rsidR="00B71607" w:rsidRPr="00B71607">
        <w:t xml:space="preserve"> </w:t>
      </w:r>
      <w:r>
        <w:t>values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supply-side</w:t>
      </w:r>
      <w:r w:rsidR="00B71607" w:rsidRPr="00B71607">
        <w:t xml:space="preserve"> </w:t>
      </w:r>
      <w:r>
        <w:t>variables,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factor</w:t>
      </w:r>
      <w:r w:rsidR="00B71607" w:rsidRPr="00B71607">
        <w:t xml:space="preserve"> </w:t>
      </w:r>
      <w:r>
        <w:t>supplies,</w:t>
      </w:r>
      <w:r w:rsidR="00B71607" w:rsidRPr="00B71607">
        <w:t xml:space="preserve"> </w:t>
      </w:r>
      <w:r>
        <w:t>technology,</w:t>
      </w:r>
      <w:r w:rsidR="00B71607" w:rsidRPr="00B71607">
        <w:t xml:space="preserve"> </w:t>
      </w:r>
      <w:r>
        <w:t>management</w:t>
      </w:r>
      <w:r w:rsidR="00B71607" w:rsidRPr="00B71607">
        <w:t xml:space="preserve"> </w:t>
      </w:r>
      <w:r>
        <w:t>skills,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perhaps</w:t>
      </w:r>
      <w:r w:rsidR="00B71607" w:rsidRPr="00B71607">
        <w:t xml:space="preserve"> </w:t>
      </w:r>
      <w:r>
        <w:t>some</w:t>
      </w:r>
      <w:r w:rsidR="00B71607" w:rsidRPr="00B71607">
        <w:t xml:space="preserve"> </w:t>
      </w:r>
      <w:r>
        <w:t>factor</w:t>
      </w:r>
      <w:r w:rsidR="00B71607" w:rsidRPr="00B71607">
        <w:t xml:space="preserve"> </w:t>
      </w:r>
      <w:r>
        <w:t>market</w:t>
      </w:r>
      <w:r w:rsidR="00B71607" w:rsidRPr="00B71607">
        <w:t xml:space="preserve"> </w:t>
      </w:r>
      <w:r>
        <w:t>frictions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inefficiencies.</w:t>
      </w:r>
      <w:bookmarkStart w:id="2" w:name="_Ref414341583"/>
      <w:r>
        <w:rPr>
          <w:rStyle w:val="EndnoteReference"/>
        </w:rPr>
        <w:endnoteReference w:id="7"/>
      </w:r>
      <w:bookmarkEnd w:id="2"/>
      <w:r w:rsidR="00ED2BF3">
        <w:t xml:space="preserve"> </w:t>
      </w:r>
      <w:r w:rsidR="001C6B7F">
        <w:t>The presumed</w:t>
      </w:r>
      <w:r w:rsidR="001C6B7F" w:rsidRPr="00B71607">
        <w:t xml:space="preserve"> </w:t>
      </w:r>
      <w:r w:rsidR="001C6B7F">
        <w:t>independence</w:t>
      </w:r>
      <w:r w:rsidR="001C6B7F" w:rsidRPr="00B71607">
        <w:t xml:space="preserve"> </w:t>
      </w:r>
      <w:r w:rsidR="001C6B7F">
        <w:t>of</w:t>
      </w:r>
      <w:r w:rsidR="001C6B7F" w:rsidRPr="00B71607">
        <w:t xml:space="preserve"> </w:t>
      </w:r>
      <w:r w:rsidR="001C6B7F">
        <w:t>the long-term</w:t>
      </w:r>
      <w:r w:rsidR="001C6B7F" w:rsidRPr="00B71607">
        <w:t xml:space="preserve"> </w:t>
      </w:r>
      <w:r w:rsidR="001C6B7F">
        <w:t>equilibrium growth</w:t>
      </w:r>
      <w:r w:rsidR="001C6B7F" w:rsidRPr="00B71607">
        <w:t xml:space="preserve"> </w:t>
      </w:r>
      <w:r w:rsidR="001C6B7F">
        <w:t>path from</w:t>
      </w:r>
      <w:r w:rsidR="001C6B7F" w:rsidRPr="00B71607">
        <w:t xml:space="preserve"> </w:t>
      </w:r>
      <w:r w:rsidR="001C6B7F">
        <w:t>short-run</w:t>
      </w:r>
      <w:r w:rsidR="001C6B7F" w:rsidRPr="00B71607">
        <w:t xml:space="preserve"> </w:t>
      </w:r>
      <w:r w:rsidR="001C6B7F">
        <w:t>dynamics</w:t>
      </w:r>
      <w:r w:rsidR="001C6B7F" w:rsidRPr="00B71607">
        <w:t xml:space="preserve"> </w:t>
      </w:r>
      <w:r w:rsidR="001C6B7F">
        <w:t>allows</w:t>
      </w:r>
      <w:r w:rsidR="001C6B7F" w:rsidRPr="00B71607">
        <w:t xml:space="preserve"> </w:t>
      </w:r>
      <w:r w:rsidR="001C6B7F">
        <w:t>Solow</w:t>
      </w:r>
      <w:r w:rsidR="001C6B7F" w:rsidRPr="00B71607">
        <w:t xml:space="preserve"> </w:t>
      </w:r>
      <w:r w:rsidR="001C6B7F">
        <w:t xml:space="preserve">and his </w:t>
      </w:r>
      <w:r w:rsidR="004E1F8E">
        <w:t xml:space="preserve">intellectual descendants </w:t>
      </w:r>
      <w:r w:rsidR="001C6B7F">
        <w:t>to</w:t>
      </w:r>
      <w:r w:rsidR="001C6B7F" w:rsidRPr="00B71607">
        <w:t xml:space="preserve"> </w:t>
      </w:r>
      <w:r w:rsidR="001C6B7F">
        <w:t>analyze</w:t>
      </w:r>
      <w:r w:rsidR="001C6B7F" w:rsidRPr="00B71607">
        <w:t xml:space="preserve"> </w:t>
      </w:r>
      <w:r w:rsidR="001C6B7F">
        <w:t>the former while</w:t>
      </w:r>
      <w:r w:rsidR="001C6B7F" w:rsidRPr="00B71607">
        <w:t xml:space="preserve"> </w:t>
      </w:r>
      <w:r w:rsidR="001C6B7F">
        <w:t>ignoring the latter.</w:t>
      </w:r>
      <w:r w:rsidR="004E1F8E">
        <w:t xml:space="preserve"> </w:t>
      </w:r>
    </w:p>
    <w:p w:rsidR="006B3DED" w:rsidRPr="00C158C0" w:rsidRDefault="005A5248" w:rsidP="006B3DED">
      <w:pPr>
        <w:spacing w:line="240" w:lineRule="auto"/>
      </w:pPr>
      <w:r>
        <w:t>Second, in this view, the system gravitates to this equilibrium if market</w:t>
      </w:r>
      <w:r w:rsidR="000E3628">
        <w:t>s</w:t>
      </w:r>
      <w:r>
        <w:t xml:space="preserve"> are </w:t>
      </w:r>
      <w:r w:rsidR="001C6B7F">
        <w:t xml:space="preserve">perfect and </w:t>
      </w:r>
      <w:r w:rsidR="004E1F8E">
        <w:t xml:space="preserve">they </w:t>
      </w:r>
      <w:r w:rsidR="000E3628">
        <w:t xml:space="preserve">are </w:t>
      </w:r>
      <w:r>
        <w:t>allowed to run free.</w:t>
      </w:r>
      <w:r w:rsidR="004E1F8E">
        <w:t xml:space="preserve"> In sum</w:t>
      </w:r>
      <w:r>
        <w:t>, the NC school embraces the axiom that with unfe</w:t>
      </w:r>
      <w:r>
        <w:t>t</w:t>
      </w:r>
      <w:r>
        <w:t>tered competitive markets, “in the long run, we’re at full employment” – or, more accurat</w:t>
      </w:r>
      <w:r>
        <w:t>e</w:t>
      </w:r>
      <w:r>
        <w:t xml:space="preserve">ly, </w:t>
      </w:r>
      <w:r w:rsidR="000E3628">
        <w:t>“</w:t>
      </w:r>
      <w:r>
        <w:t xml:space="preserve">we’re at the </w:t>
      </w:r>
      <w:r w:rsidR="000E3628">
        <w:t>‘</w:t>
      </w:r>
      <w:r>
        <w:t>natural</w:t>
      </w:r>
      <w:r w:rsidR="000E3628">
        <w:t>’</w:t>
      </w:r>
      <w:r>
        <w:t xml:space="preserve"> level of employment.</w:t>
      </w:r>
      <w:r w:rsidR="000E3628">
        <w:t>”</w:t>
      </w:r>
      <w:r>
        <w:t xml:space="preserve"> Thus, in NC macroeconomics, the main co</w:t>
      </w:r>
      <w:r>
        <w:t>n</w:t>
      </w:r>
      <w:r>
        <w:t>troversy concerns how much time this adjustment takes and how complete it is.</w:t>
      </w:r>
      <w:r>
        <w:rPr>
          <w:rStyle w:val="EndnoteReference"/>
        </w:rPr>
        <w:endnoteReference w:id="8"/>
      </w:r>
      <w:r>
        <w:t xml:space="preserve"> Then, the key policy issues are about the essentially microeconomic questions of how to raise “nat</w:t>
      </w:r>
      <w:r>
        <w:t>u</w:t>
      </w:r>
      <w:r>
        <w:t>ral” employment and output by eliminating or moderating the effects of frictions and ineff</w:t>
      </w:r>
      <w:r>
        <w:t>i</w:t>
      </w:r>
      <w:r>
        <w:t xml:space="preserve">ciencies. </w:t>
      </w:r>
      <w:r w:rsidR="004E1F8E">
        <w:t xml:space="preserve">To </w:t>
      </w:r>
      <w:r>
        <w:t xml:space="preserve">the current policy consensus, this mostly involves </w:t>
      </w:r>
      <w:r w:rsidR="000F472B">
        <w:t xml:space="preserve">increasing “flexibility,” i.e., </w:t>
      </w:r>
      <w:r>
        <w:t>the abolition of non-market institutions</w:t>
      </w:r>
      <w:r w:rsidR="000F472B">
        <w:t>, especially in labor-power markets</w:t>
      </w:r>
      <w: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B3DED" w:rsidRDefault="006B3DED" w:rsidP="006B3DED">
      <w:pPr>
        <w:spacing w:line="240" w:lineRule="auto"/>
      </w:pPr>
      <w:r>
        <w:t>Keynesians,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contrast,</w:t>
      </w:r>
      <w:r w:rsidR="00B71607" w:rsidRPr="00B71607">
        <w:t xml:space="preserve"> </w:t>
      </w:r>
      <w:r>
        <w:t>see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character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long-term</w:t>
      </w:r>
      <w:r w:rsidR="00B71607" w:rsidRPr="00B71607">
        <w:t xml:space="preserve"> </w:t>
      </w:r>
      <w:r>
        <w:t>results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determined</w:t>
      </w:r>
      <w:r w:rsidR="00B71607" w:rsidRPr="00B71607">
        <w:t xml:space="preserve"> </w:t>
      </w:r>
      <w:r>
        <w:t>endogenously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series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short</w:t>
      </w:r>
      <w:r w:rsidR="00B71607" w:rsidRPr="00B71607">
        <w:t xml:space="preserve"> </w:t>
      </w:r>
      <w:r>
        <w:t>periods</w:t>
      </w:r>
      <w:r w:rsidR="00B71607" w:rsidRPr="00B71607">
        <w:t xml:space="preserve"> </w:t>
      </w:r>
      <w:r>
        <w:t>under</w:t>
      </w:r>
      <w:r w:rsidR="00B71607" w:rsidRPr="00B71607">
        <w:t xml:space="preserve"> </w:t>
      </w:r>
      <w:r>
        <w:t>conditions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fundamental</w:t>
      </w:r>
      <w:r w:rsidR="00B71607" w:rsidRPr="00B71607">
        <w:t xml:space="preserve"> </w:t>
      </w:r>
      <w:r>
        <w:t>(Knightian)</w:t>
      </w:r>
      <w:r w:rsidR="00B71607" w:rsidRPr="00B71607">
        <w:t xml:space="preserve"> </w:t>
      </w:r>
      <w:r>
        <w:t>uncertainty,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present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point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relentless</w:t>
      </w:r>
      <w:r w:rsidR="00B71607" w:rsidRPr="00B71607">
        <w:t xml:space="preserve"> </w:t>
      </w:r>
      <w:r>
        <w:t>transition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irreversible</w:t>
      </w:r>
      <w:r w:rsidR="00B71607" w:rsidRPr="00B71607">
        <w:t xml:space="preserve"> </w:t>
      </w:r>
      <w:r>
        <w:t>past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 w:rsidR="004E1F8E">
        <w:t>unknow</w:t>
      </w:r>
      <w:r w:rsidR="004E1F8E">
        <w:t>a</w:t>
      </w:r>
      <w:r w:rsidR="004E1F8E">
        <w:t xml:space="preserve">ble </w:t>
      </w:r>
      <w:r>
        <w:t>future</w:t>
      </w:r>
      <w:r w:rsidR="00B71607" w:rsidRPr="00B71607">
        <w:t xml:space="preserve"> </w:t>
      </w:r>
      <w:r>
        <w:t>(Kalecki,</w:t>
      </w:r>
      <w:r w:rsidR="00B71607" w:rsidRPr="00B71607">
        <w:t xml:space="preserve"> </w:t>
      </w:r>
      <w:r>
        <w:t>1968:</w:t>
      </w:r>
      <w:r w:rsidR="00B71607" w:rsidRPr="00B71607">
        <w:t xml:space="preserve"> </w:t>
      </w:r>
      <w:r>
        <w:t>263;</w:t>
      </w:r>
      <w:r w:rsidR="00B71607" w:rsidRPr="00B71607">
        <w:t xml:space="preserve"> </w:t>
      </w:r>
      <w:r>
        <w:t>Robinson,</w:t>
      </w:r>
      <w:r w:rsidR="00B71607" w:rsidRPr="00B71607">
        <w:t xml:space="preserve"> </w:t>
      </w:r>
      <w:r>
        <w:t>1980).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only</w:t>
      </w:r>
      <w:r w:rsidR="00B71607" w:rsidRPr="00B71607">
        <w:t xml:space="preserve"> </w:t>
      </w:r>
      <w:r>
        <w:t>do</w:t>
      </w:r>
      <w:r w:rsidR="00B71607" w:rsidRPr="00B71607">
        <w:t xml:space="preserve"> </w:t>
      </w:r>
      <w:r>
        <w:t>hysteresis</w:t>
      </w:r>
      <w:r w:rsidR="00B71607" w:rsidRPr="00B71607">
        <w:t xml:space="preserve"> </w:t>
      </w:r>
      <w:r>
        <w:t>(path</w:t>
      </w:r>
      <w:r w:rsidR="00B71607" w:rsidRPr="00B71607">
        <w:t xml:space="preserve"> </w:t>
      </w:r>
      <w:r>
        <w:t>dependence)</w:t>
      </w:r>
      <w:r w:rsidR="00B71607" w:rsidRPr="00B71607">
        <w:t xml:space="preserve"> </w:t>
      </w:r>
      <w:r>
        <w:t>effects</w:t>
      </w:r>
      <w:r w:rsidR="00B71607" w:rsidRPr="00B71607">
        <w:t xml:space="preserve"> </w:t>
      </w:r>
      <w:r>
        <w:t>play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role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changing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nature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long-run</w:t>
      </w:r>
      <w:r w:rsidR="00B71607" w:rsidRPr="00B71607">
        <w:t xml:space="preserve"> </w:t>
      </w:r>
      <w:r>
        <w:t>state</w:t>
      </w:r>
      <w:r w:rsidR="001F1AC1">
        <w:t xml:space="preserve"> (</w:t>
      </w:r>
      <w:r w:rsidR="000F472B">
        <w:t xml:space="preserve">including </w:t>
      </w:r>
      <w:r w:rsidR="001F1AC1">
        <w:t xml:space="preserve">as the </w:t>
      </w:r>
      <w:r w:rsidR="004E1F8E">
        <w:t xml:space="preserve">values of both the </w:t>
      </w:r>
      <w:r w:rsidR="000F472B">
        <w:t xml:space="preserve">NAIRU </w:t>
      </w:r>
      <w:r w:rsidR="001F1AC1">
        <w:t>and potential)</w:t>
      </w:r>
      <w:r>
        <w:t>,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 w:rsidR="001F1AC1">
        <w:t xml:space="preserve">Keynesian macroeconomics does not </w:t>
      </w:r>
      <w:r>
        <w:t>assume</w:t>
      </w:r>
      <w:r w:rsidR="00B71607" w:rsidRPr="00B71607">
        <w:t xml:space="preserve"> </w:t>
      </w:r>
      <w:r>
        <w:rPr>
          <w:i/>
        </w:rPr>
        <w:t>a</w:t>
      </w:r>
      <w:r w:rsidR="00B71607" w:rsidRPr="00B71607">
        <w:t xml:space="preserve"> </w:t>
      </w:r>
      <w:r>
        <w:rPr>
          <w:i/>
        </w:rPr>
        <w:t>priori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level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>
        <w:t>will</w:t>
      </w:r>
      <w:r w:rsidR="00B71607" w:rsidRPr="00B71607">
        <w:t xml:space="preserve"> </w:t>
      </w:r>
      <w:r>
        <w:t>ever</w:t>
      </w:r>
      <w:r w:rsidR="00B71607" w:rsidRPr="00B71607">
        <w:t xml:space="preserve"> </w:t>
      </w:r>
      <w:r>
        <w:t>achieve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long-term</w:t>
      </w:r>
      <w:r w:rsidR="00B71607" w:rsidRPr="00B71607">
        <w:t xml:space="preserve"> </w:t>
      </w:r>
      <w:r>
        <w:t>equilibrium</w:t>
      </w:r>
      <w:r w:rsidR="00B71607" w:rsidRPr="00B71607">
        <w:t xml:space="preserve"> </w:t>
      </w:r>
      <w:r>
        <w:t>state</w:t>
      </w:r>
      <w:r w:rsidR="001F1AC1">
        <w:t xml:space="preserve"> merely via ma</w:t>
      </w:r>
      <w:r w:rsidR="001F1AC1">
        <w:t>r</w:t>
      </w:r>
      <w:r w:rsidR="001F1AC1">
        <w:t>ket adjustment</w:t>
      </w:r>
      <w:r>
        <w:t>.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noted,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original</w:t>
      </w:r>
      <w:r w:rsidR="00B71607" w:rsidRPr="00B71607">
        <w:t xml:space="preserve"> </w:t>
      </w:r>
      <w:r>
        <w:t>Keynesians</w:t>
      </w:r>
      <w:r w:rsidR="00B71607" w:rsidRPr="00B71607">
        <w:t xml:space="preserve"> </w:t>
      </w:r>
      <w:r>
        <w:t>saw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automatic</w:t>
      </w:r>
      <w:r w:rsidR="00B71607" w:rsidRPr="00B71607">
        <w:t xml:space="preserve"> </w:t>
      </w:r>
      <w:r>
        <w:t>price</w:t>
      </w:r>
      <w:r w:rsidR="00B71607" w:rsidRPr="00B71607">
        <w:t xml:space="preserve"> </w:t>
      </w:r>
      <w:r>
        <w:t>adjustment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supposed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promote</w:t>
      </w:r>
      <w:r w:rsidR="00B71607" w:rsidRPr="00B71607">
        <w:t xml:space="preserve"> </w:t>
      </w:r>
      <w:r w:rsidR="00CC698A">
        <w:rPr>
          <w:b/>
        </w:rPr>
        <w:t>D</w:t>
      </w:r>
      <w:r w:rsidR="00CC698A">
        <w:t xml:space="preserve"> = </w:t>
      </w:r>
      <w:r>
        <w:rPr>
          <w:b/>
        </w:rPr>
        <w:t>Y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rPr>
          <w:b/>
        </w:rPr>
        <w:t>F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very</w:t>
      </w:r>
      <w:r w:rsidR="00B71607" w:rsidRPr="00B71607">
        <w:t xml:space="preserve"> </w:t>
      </w:r>
      <w:r>
        <w:t>weak</w:t>
      </w:r>
      <w:r w:rsidR="00B71607" w:rsidRPr="00B71607">
        <w:t xml:space="preserve"> </w:t>
      </w:r>
      <w:r>
        <w:t>if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nonexistent</w:t>
      </w:r>
      <w:r w:rsidR="000F472B">
        <w:t xml:space="preserve"> (if unemployment is high)</w:t>
      </w:r>
      <w:r>
        <w:t>.</w:t>
      </w:r>
      <w:r w:rsidR="00B71607" w:rsidRPr="00B71607">
        <w:t xml:space="preserve"> </w:t>
      </w:r>
      <w:r>
        <w:t>Thus,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persistent</w:t>
      </w:r>
      <w:r w:rsidR="00B71607" w:rsidRPr="00B71607">
        <w:t xml:space="preserve"> </w:t>
      </w:r>
      <w:r>
        <w:t>less-than-full</w:t>
      </w:r>
      <w:r w:rsidR="00B71607" w:rsidRPr="00B71607">
        <w:t xml:space="preserve"> </w:t>
      </w:r>
      <w:r>
        <w:t>employment</w:t>
      </w:r>
      <w:r w:rsidR="00B71607" w:rsidRPr="00B71607">
        <w:t xml:space="preserve"> </w:t>
      </w:r>
      <w:r>
        <w:t>situation,</w:t>
      </w:r>
      <w:r w:rsidR="00B71607" w:rsidRPr="00B71607">
        <w:t xml:space="preserve"> </w:t>
      </w:r>
      <w:r>
        <w:t>such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seen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U.</w:t>
      </w:r>
      <w:r w:rsidRPr="00C83256">
        <w:t>S.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stagnant</w:t>
      </w:r>
      <w:r w:rsidR="00B71607" w:rsidRPr="00B71607">
        <w:t xml:space="preserve"> </w:t>
      </w:r>
      <w:r>
        <w:t>aftermath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Great</w:t>
      </w:r>
      <w:r w:rsidR="00B71607" w:rsidRPr="00B71607">
        <w:t xml:space="preserve"> </w:t>
      </w:r>
      <w:r>
        <w:t>Recession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2007-09</w:t>
      </w:r>
      <w:r w:rsidR="00B71607" w:rsidRPr="00B71607">
        <w:t xml:space="preserve"> </w:t>
      </w:r>
      <w:r>
        <w:t>(with</w:t>
      </w:r>
      <w:r w:rsidR="00B71607" w:rsidRPr="00B71607">
        <w:t xml:space="preserve"> </w:t>
      </w:r>
      <w:r>
        <w:t>actual</w:t>
      </w:r>
      <w:r w:rsidR="00B71607" w:rsidRPr="00B71607">
        <w:t xml:space="preserve"> </w:t>
      </w:r>
      <w:r>
        <w:t>GDP</w:t>
      </w:r>
      <w:r w:rsidR="00B71607" w:rsidRPr="00B71607">
        <w:t xml:space="preserve"> </w:t>
      </w:r>
      <w:r>
        <w:t>growing</w:t>
      </w:r>
      <w:r w:rsidR="00B71607" w:rsidRPr="00B71607">
        <w:t xml:space="preserve"> </w:t>
      </w:r>
      <w:r>
        <w:t>stead</w:t>
      </w:r>
      <w:r>
        <w:t>i</w:t>
      </w:r>
      <w:r>
        <w:t>ly</w:t>
      </w:r>
      <w:r w:rsidR="00B71607" w:rsidRPr="00B71607">
        <w:t xml:space="preserve"> </w:t>
      </w:r>
      <w:r>
        <w:t>with,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>
        <w:t>significantly</w:t>
      </w:r>
      <w:r w:rsidR="00B71607" w:rsidRPr="00B71607">
        <w:t xml:space="preserve"> </w:t>
      </w:r>
      <w:r>
        <w:t>below,</w:t>
      </w:r>
      <w:r w:rsidR="00B71607" w:rsidRPr="00B71607">
        <w:t xml:space="preserve"> </w:t>
      </w:r>
      <w:r>
        <w:t>potential),</w:t>
      </w:r>
      <w:r w:rsidR="00B71607" w:rsidRPr="00B71607">
        <w:t xml:space="preserve"> </w:t>
      </w:r>
      <w:r>
        <w:t>might</w:t>
      </w:r>
      <w:r w:rsidR="00B71607" w:rsidRPr="00B71607">
        <w:t xml:space="preserve"> </w:t>
      </w:r>
      <w:r>
        <w:t>fit</w:t>
      </w:r>
      <w:r w:rsidR="00B71607" w:rsidRPr="00B71607">
        <w:t xml:space="preserve"> </w:t>
      </w:r>
      <w:r>
        <w:t>Keynes’</w:t>
      </w:r>
      <w:r w:rsidR="00B71607" w:rsidRPr="00B71607">
        <w:t xml:space="preserve"> </w:t>
      </w:r>
      <w:r>
        <w:t>aphorism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“in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long</w:t>
      </w:r>
      <w:r w:rsidR="00B71607" w:rsidRPr="00B71607">
        <w:t xml:space="preserve"> </w:t>
      </w:r>
      <w:r>
        <w:t>run,</w:t>
      </w:r>
      <w:r w:rsidR="00B71607" w:rsidRPr="00B71607">
        <w:t xml:space="preserve"> </w:t>
      </w:r>
      <w:r>
        <w:t>we’re</w:t>
      </w:r>
      <w:r w:rsidR="00B71607" w:rsidRPr="00B71607">
        <w:t xml:space="preserve"> </w:t>
      </w:r>
      <w:r>
        <w:t>all</w:t>
      </w:r>
      <w:r w:rsidR="00B71607" w:rsidRPr="00B71607">
        <w:t xml:space="preserve"> </w:t>
      </w:r>
      <w:r>
        <w:t>dead.”</w:t>
      </w:r>
      <w:r w:rsidR="00B71607" w:rsidRPr="00B71607">
        <w:t xml:space="preserve"> </w:t>
      </w:r>
      <w:r>
        <w:t>Even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new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such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Lawrence</w:t>
      </w:r>
      <w:r w:rsidR="00B71607" w:rsidRPr="00B71607">
        <w:t xml:space="preserve"> </w:t>
      </w:r>
      <w:r>
        <w:t>Summers</w:t>
      </w:r>
      <w:r w:rsidR="00B71607" w:rsidRPr="00B71607">
        <w:t xml:space="preserve"> </w:t>
      </w:r>
      <w:r>
        <w:t>has</w:t>
      </w:r>
      <w:r w:rsidR="00B71607" w:rsidRPr="00B71607">
        <w:t xml:space="preserve"> </w:t>
      </w:r>
      <w:r>
        <w:t>suggested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U.S.</w:t>
      </w:r>
      <w:r w:rsidR="00B71607" w:rsidRPr="00B71607">
        <w:t xml:space="preserve"> </w:t>
      </w:r>
      <w:r>
        <w:t>may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suffering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“secular</w:t>
      </w:r>
      <w:r w:rsidR="00B71607" w:rsidRPr="00B71607">
        <w:t xml:space="preserve"> </w:t>
      </w:r>
      <w:r>
        <w:t>stagnation.”</w:t>
      </w:r>
      <w:r>
        <w:rPr>
          <w:rStyle w:val="EndnoteReference"/>
        </w:rPr>
        <w:endnoteReference w:id="9"/>
      </w:r>
      <w:r w:rsidR="00B71607" w:rsidRPr="00B71607">
        <w:t xml:space="preserve"> </w:t>
      </w:r>
    </w:p>
    <w:p w:rsidR="006B3DED" w:rsidRDefault="006B3DED" w:rsidP="006B3DED">
      <w:pPr>
        <w:spacing w:line="240" w:lineRule="auto"/>
      </w:pPr>
      <w:r>
        <w:t>In</w:t>
      </w:r>
      <w:r w:rsidR="00B71607" w:rsidRPr="00B71607">
        <w:t xml:space="preserve"> </w:t>
      </w:r>
      <w:r>
        <w:t>sum,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school</w:t>
      </w:r>
      <w:r w:rsidR="00B71607" w:rsidRPr="00B71607">
        <w:t xml:space="preserve"> </w:t>
      </w:r>
      <w:r>
        <w:t>emphasizes</w:t>
      </w:r>
      <w:r w:rsidR="00B71607" w:rsidRPr="00B71607">
        <w:t xml:space="preserve"> </w:t>
      </w:r>
      <w:r>
        <w:t>supply-side</w:t>
      </w:r>
      <w:r w:rsidR="00B71607" w:rsidRPr="00B71607">
        <w:t xml:space="preserve"> </w:t>
      </w:r>
      <w:r>
        <w:t>inefficiencies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exist</w:t>
      </w:r>
      <w:r w:rsidR="00B71607" w:rsidRPr="00B71607">
        <w:t xml:space="preserve"> </w:t>
      </w:r>
      <w:r>
        <w:t>when</w:t>
      </w:r>
      <w:r w:rsidR="00B71607" w:rsidRPr="00B71607">
        <w:t xml:space="preserve"> </w:t>
      </w:r>
      <w:r w:rsidR="00CC698A">
        <w:rPr>
          <w:b/>
        </w:rPr>
        <w:t>D</w:t>
      </w:r>
      <w:r w:rsidR="00CC698A">
        <w:t xml:space="preserve"> = </w:t>
      </w:r>
      <w:r>
        <w:rPr>
          <w:b/>
        </w:rPr>
        <w:t>Y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rPr>
          <w:b/>
        </w:rPr>
        <w:t>F</w:t>
      </w:r>
      <w:r>
        <w:t>,</w:t>
      </w:r>
      <w:r w:rsidR="00B71607" w:rsidRPr="00B71607">
        <w:t xml:space="preserve"> </w:t>
      </w:r>
      <w:r>
        <w:t>Keynesians</w:t>
      </w:r>
      <w:r w:rsidR="00B71607" w:rsidRPr="00B71607">
        <w:t xml:space="preserve"> </w:t>
      </w:r>
      <w:r>
        <w:t>stress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role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inefficiency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degree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resources</w:t>
      </w:r>
      <w:r w:rsidR="00B71607" w:rsidRPr="00B71607">
        <w:t xml:space="preserve"> </w:t>
      </w:r>
      <w:r>
        <w:t>utilization</w:t>
      </w:r>
      <w:r w:rsidR="00B71607" w:rsidRPr="00B71607">
        <w:t xml:space="preserve"> </w:t>
      </w:r>
      <w:r>
        <w:t>due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a</w:t>
      </w:r>
      <w:r>
        <w:t>g</w:t>
      </w:r>
      <w:r>
        <w:t>gregate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>
        <w:t>failure</w:t>
      </w:r>
      <w:r w:rsidR="00B71607" w:rsidRPr="00B71607">
        <w:t xml:space="preserve"> </w:t>
      </w:r>
      <w:r>
        <w:t>(</w:t>
      </w:r>
      <w:r>
        <w:rPr>
          <w:b/>
        </w:rPr>
        <w:t>D</w:t>
      </w:r>
      <w:r w:rsidR="00B71607" w:rsidRPr="00B71607">
        <w:t xml:space="preserve"> </w:t>
      </w:r>
      <w:r w:rsidR="00CC698A">
        <w:t xml:space="preserve">= </w:t>
      </w:r>
      <w:r w:rsidR="00CC698A">
        <w:rPr>
          <w:b/>
        </w:rPr>
        <w:t xml:space="preserve">Y </w:t>
      </w:r>
      <w:r>
        <w:t>&lt;</w:t>
      </w:r>
      <w:r w:rsidR="00B71607" w:rsidRPr="00B71607">
        <w:t xml:space="preserve"> </w:t>
      </w:r>
      <w:r>
        <w:rPr>
          <w:b/>
        </w:rPr>
        <w:t>F</w:t>
      </w:r>
      <w:r>
        <w:t>).</w:t>
      </w:r>
      <w:r w:rsidR="00B71607" w:rsidRPr="00B71607">
        <w:t xml:space="preserve"> </w:t>
      </w:r>
      <w:r>
        <w:t>Because</w:t>
      </w:r>
      <w:r w:rsidR="00B71607" w:rsidRPr="00B71607">
        <w:t xml:space="preserve"> </w:t>
      </w:r>
      <w:r>
        <w:t>they</w:t>
      </w:r>
      <w:r w:rsidR="00B71607" w:rsidRPr="00B71607">
        <w:t xml:space="preserve"> </w:t>
      </w:r>
      <w:r>
        <w:t>do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dismiss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role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either</w:t>
      </w:r>
      <w:r w:rsidR="00B71607" w:rsidRPr="00B71607">
        <w:t xml:space="preserve"> </w:t>
      </w:r>
      <w:r>
        <w:t>physical</w:t>
      </w:r>
      <w:r w:rsidR="00B71607" w:rsidRPr="00B71607">
        <w:t xml:space="preserve"> </w:t>
      </w:r>
      <w:r>
        <w:t>limits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production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supply-side</w:t>
      </w:r>
      <w:r w:rsidR="00B71607" w:rsidRPr="00B71607">
        <w:t xml:space="preserve"> </w:t>
      </w:r>
      <w:r>
        <w:t>inefficiencies,</w:t>
      </w:r>
      <w:r w:rsidR="00B71607" w:rsidRPr="00B71607">
        <w:t xml:space="preserve"> </w:t>
      </w:r>
      <w:r>
        <w:t>they</w:t>
      </w:r>
      <w:r w:rsidR="00B71607" w:rsidRPr="00B71607">
        <w:t xml:space="preserve"> </w:t>
      </w:r>
      <w:r>
        <w:t>see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macroeconomic</w:t>
      </w:r>
      <w:r w:rsidR="00B71607" w:rsidRPr="00B71607">
        <w:t xml:space="preserve"> </w:t>
      </w:r>
      <w:r>
        <w:t>behavior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rPr>
          <w:i/>
        </w:rPr>
        <w:t>asymmetrical</w:t>
      </w:r>
      <w:r>
        <w:t>:</w:t>
      </w:r>
      <w:r w:rsidR="00B71607" w:rsidRPr="00B71607">
        <w:t xml:space="preserve"> </w:t>
      </w:r>
      <w:r>
        <w:t>unlike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Friedman’s</w:t>
      </w:r>
      <w:r w:rsidR="00B71607" w:rsidRPr="00B71607">
        <w:t xml:space="preserve"> </w:t>
      </w:r>
      <w:r>
        <w:t>(1968)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theory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employment,</w:t>
      </w:r>
      <w:r w:rsidR="00B71607" w:rsidRPr="00B71607">
        <w:t xml:space="preserve"> </w:t>
      </w:r>
      <w:r>
        <w:t>for</w:t>
      </w:r>
      <w:r w:rsidR="00B71607" w:rsidRPr="00B71607">
        <w:t xml:space="preserve"> </w:t>
      </w:r>
      <w:r>
        <w:t>example,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</w:t>
      </w:r>
      <w:r>
        <w:t>e</w:t>
      </w:r>
      <w:r>
        <w:t>sult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operating</w:t>
      </w:r>
      <w:r w:rsidR="00B71607" w:rsidRPr="00B71607">
        <w:t xml:space="preserve"> </w:t>
      </w:r>
      <w:r>
        <w:t>above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inflation</w:t>
      </w:r>
      <w:r w:rsidR="00B71607" w:rsidRPr="00B71607">
        <w:t xml:space="preserve"> </w:t>
      </w:r>
      <w:r>
        <w:t>barrier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 w:rsidR="00CC698A">
        <w:t xml:space="preserve">simple </w:t>
      </w:r>
      <w:r>
        <w:t>mirror</w:t>
      </w:r>
      <w:r w:rsidR="00B71607" w:rsidRPr="00B71607">
        <w:t xml:space="preserve"> </w:t>
      </w:r>
      <w:r>
        <w:t>image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what</w:t>
      </w:r>
      <w:r w:rsidR="00B71607" w:rsidRPr="00B71607">
        <w:t xml:space="preserve"> </w:t>
      </w:r>
      <w:r>
        <w:t>happens</w:t>
      </w:r>
      <w:r w:rsidR="00B71607" w:rsidRPr="00B71607">
        <w:t xml:space="preserve"> </w:t>
      </w:r>
      <w:r>
        <w:t>when</w:t>
      </w:r>
      <w:r w:rsidR="00B71607" w:rsidRPr="00B71607">
        <w:t xml:space="preserve"> </w:t>
      </w:r>
      <w:r>
        <w:t>low</w:t>
      </w:r>
      <w:r w:rsidR="00B71607" w:rsidRPr="00B71607">
        <w:t xml:space="preserve"> </w:t>
      </w:r>
      <w:r>
        <w:t>aggregate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>
        <w:t>prevails.</w:t>
      </w:r>
      <w:r w:rsidR="00B71607" w:rsidRPr="00B71607">
        <w:t xml:space="preserve"> </w:t>
      </w:r>
      <w:r>
        <w:t>One</w:t>
      </w:r>
      <w:r w:rsidR="00B71607" w:rsidRPr="00B71607">
        <w:t xml:space="preserve"> </w:t>
      </w:r>
      <w:r>
        <w:t>aspect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asymmetry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Pr="004A58A4">
        <w:rPr>
          <w:i/>
        </w:rPr>
        <w:t>price</w:t>
      </w:r>
      <w:r>
        <w:rPr>
          <w:i/>
        </w:rPr>
        <w:t>/wage</w:t>
      </w:r>
      <w:r w:rsidR="00B71607" w:rsidRPr="00B71607">
        <w:t xml:space="preserve"> </w:t>
      </w:r>
      <w:r w:rsidRPr="004A58A4">
        <w:rPr>
          <w:i/>
        </w:rPr>
        <w:t>ratchet</w:t>
      </w:r>
      <w:r w:rsidR="00B71607" w:rsidRPr="00B71607">
        <w:t xml:space="preserve"> </w:t>
      </w:r>
      <w:r w:rsidRPr="004A58A4">
        <w:rPr>
          <w:i/>
        </w:rPr>
        <w:t>effect</w:t>
      </w:r>
      <w:r>
        <w:t>:</w:t>
      </w:r>
      <w:r w:rsidR="00B71607" w:rsidRPr="00B71607">
        <w:t xml:space="preserve"> </w:t>
      </w:r>
      <w:r>
        <w:t>prices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money</w:t>
      </w:r>
      <w:r w:rsidR="00B71607" w:rsidRPr="00B71607">
        <w:t xml:space="preserve"> </w:t>
      </w:r>
      <w:r>
        <w:t>wages</w:t>
      </w:r>
      <w:r w:rsidR="00B71607" w:rsidRPr="00B71607">
        <w:t xml:space="preserve"> </w:t>
      </w:r>
      <w:r>
        <w:t>–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inflation</w:t>
      </w:r>
      <w:r w:rsidR="00B71607" w:rsidRPr="00B71607">
        <w:t xml:space="preserve"> </w:t>
      </w:r>
      <w:r>
        <w:t>rates</w:t>
      </w:r>
      <w:r w:rsidR="00B71607" w:rsidRPr="00B71607">
        <w:t xml:space="preserve"> </w:t>
      </w:r>
      <w:r>
        <w:t>–</w:t>
      </w:r>
      <w:r w:rsidR="00B71607" w:rsidRPr="00B71607">
        <w:t xml:space="preserve"> </w:t>
      </w:r>
      <w:r>
        <w:t>rise</w:t>
      </w:r>
      <w:r w:rsidR="00B71607" w:rsidRPr="00B71607">
        <w:t xml:space="preserve"> </w:t>
      </w:r>
      <w:r>
        <w:t>relatively</w:t>
      </w:r>
      <w:r w:rsidR="00B71607" w:rsidRPr="00B71607">
        <w:t xml:space="preserve"> </w:t>
      </w:r>
      <w:r>
        <w:t>easily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“sticky”</w:t>
      </w:r>
      <w:r w:rsidR="00B71607" w:rsidRPr="00B71607">
        <w:t xml:space="preserve"> </w:t>
      </w:r>
      <w:r>
        <w:t>downward.</w:t>
      </w:r>
      <w:r w:rsidR="00B71607" w:rsidRPr="00B71607">
        <w:t xml:space="preserve"> </w:t>
      </w:r>
      <w:r>
        <w:t>Though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ratchet</w:t>
      </w:r>
      <w:r w:rsidR="00B71607" w:rsidRPr="00B71607">
        <w:t xml:space="preserve"> </w:t>
      </w:r>
      <w:r>
        <w:t>seems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have</w:t>
      </w:r>
      <w:r w:rsidR="00B71607" w:rsidRPr="00B71607">
        <w:t xml:space="preserve"> </w:t>
      </w:r>
      <w:r>
        <w:t>been</w:t>
      </w:r>
      <w:r w:rsidR="00B71607" w:rsidRPr="00B71607">
        <w:t xml:space="preserve"> </w:t>
      </w:r>
      <w:r>
        <w:t>broken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1920s,</w:t>
      </w:r>
      <w:r w:rsidR="00B71607" w:rsidRPr="00B71607">
        <w:t xml:space="preserve"> </w:t>
      </w:r>
      <w:r>
        <w:t>a</w:t>
      </w:r>
      <w:r>
        <w:t>l</w:t>
      </w:r>
      <w:r>
        <w:t>lowing</w:t>
      </w:r>
      <w:r w:rsidR="00B71607" w:rsidRPr="00B71607">
        <w:t xml:space="preserve"> </w:t>
      </w:r>
      <w:r w:rsidR="00CC698A">
        <w:t xml:space="preserve">destructive </w:t>
      </w:r>
      <w:r>
        <w:t>deflation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early</w:t>
      </w:r>
      <w:r w:rsidR="00B71607" w:rsidRPr="00B71607">
        <w:t xml:space="preserve"> </w:t>
      </w:r>
      <w:r>
        <w:t>1930s,</w:t>
      </w:r>
      <w:r w:rsidR="00B71607" w:rsidRPr="00B71607">
        <w:t xml:space="preserve"> </w:t>
      </w:r>
      <w:r w:rsidR="00CC698A">
        <w:t>this</w:t>
      </w:r>
      <w:r w:rsidR="00B71607" w:rsidRPr="00B71607">
        <w:t xml:space="preserve"> </w:t>
      </w:r>
      <w:r>
        <w:t>effect</w:t>
      </w:r>
      <w:r w:rsidR="00B71607" w:rsidRPr="00B71607">
        <w:t xml:space="preserve"> </w:t>
      </w:r>
      <w:r w:rsidR="00CC698A">
        <w:t xml:space="preserve">might </w:t>
      </w:r>
      <w:r>
        <w:t>prevent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delay</w:t>
      </w:r>
      <w:r w:rsidR="00B71607" w:rsidRPr="00B71607">
        <w:t xml:space="preserve"> </w:t>
      </w:r>
      <w:r>
        <w:t>f</w:t>
      </w:r>
      <w:r>
        <w:t>u</w:t>
      </w:r>
      <w:r>
        <w:t>ture</w:t>
      </w:r>
      <w:r w:rsidR="00B71607" w:rsidRPr="00B71607">
        <w:t xml:space="preserve"> </w:t>
      </w:r>
      <w:r>
        <w:t>disasters.</w:t>
      </w:r>
      <w:r w:rsidR="00B71607" w:rsidRPr="00B71607">
        <w:t xml:space="preserve"> </w:t>
      </w:r>
    </w:p>
    <w:p w:rsidR="006B3DED" w:rsidRDefault="006B3DED" w:rsidP="00FB4485">
      <w:pPr>
        <w:pStyle w:val="H3"/>
      </w:pPr>
      <w:bookmarkStart w:id="3" w:name="_Ref410712415"/>
      <w:r w:rsidRPr="00D4213A">
        <w:rPr>
          <w:noProof/>
        </w:rPr>
        <w:lastRenderedPageBreak/>
        <w:t>Harrod</w:t>
      </w:r>
      <w:r>
        <w:t>.</w:t>
      </w:r>
      <w:bookmarkEnd w:id="3"/>
      <w:r w:rsidR="00B71607" w:rsidRPr="00B71607">
        <w:t xml:space="preserve"> </w:t>
      </w:r>
    </w:p>
    <w:p w:rsidR="006B3DED" w:rsidRPr="00C2193F" w:rsidRDefault="006B3DED" w:rsidP="006B3DED">
      <w:pPr>
        <w:spacing w:line="240" w:lineRule="auto"/>
      </w:pPr>
      <w:r w:rsidRPr="00D4213A">
        <w:rPr>
          <w:noProof/>
        </w:rPr>
        <w:t>Harrod’s</w:t>
      </w:r>
      <w:r w:rsidR="00B71607" w:rsidRPr="00B71607">
        <w:rPr>
          <w:noProof/>
        </w:rPr>
        <w:t xml:space="preserve"> </w:t>
      </w:r>
      <w:r>
        <w:t>understanding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above-full</w:t>
      </w:r>
      <w:r w:rsidR="00B71607" w:rsidRPr="00B71607">
        <w:t xml:space="preserve"> </w:t>
      </w:r>
      <w:r>
        <w:t>employment</w:t>
      </w:r>
      <w:r w:rsidR="00B71607" w:rsidRPr="00B71607">
        <w:t xml:space="preserve"> </w:t>
      </w:r>
      <w:r>
        <w:t>situations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consistent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analysis: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>
        <w:t>Keynesians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era,</w:t>
      </w:r>
      <w:r w:rsidR="00B71607" w:rsidRPr="00B71607">
        <w:t xml:space="preserve"> </w:t>
      </w:r>
      <w:r>
        <w:t>he</w:t>
      </w:r>
      <w:r w:rsidR="00B71607" w:rsidRPr="00B71607">
        <w:t xml:space="preserve"> </w:t>
      </w:r>
      <w:r>
        <w:t>was</w:t>
      </w:r>
      <w:r w:rsidR="00B71607" w:rsidRPr="00B71607">
        <w:t xml:space="preserve"> </w:t>
      </w:r>
      <w:r>
        <w:t>fully</w:t>
      </w:r>
      <w:r w:rsidR="00B71607" w:rsidRPr="00B71607">
        <w:t xml:space="preserve"> </w:t>
      </w:r>
      <w:r>
        <w:t>aware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inflationary</w:t>
      </w:r>
      <w:r w:rsidR="00B71607" w:rsidRPr="00B71607">
        <w:t xml:space="preserve"> </w:t>
      </w:r>
      <w:r>
        <w:t>consequences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going</w:t>
      </w:r>
      <w:r w:rsidR="00B71607" w:rsidRPr="00B71607">
        <w:t xml:space="preserve"> </w:t>
      </w:r>
      <w:r>
        <w:t>beyond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barrier</w:t>
      </w:r>
      <w:r w:rsidR="00B71607" w:rsidRPr="00B71607">
        <w:t xml:space="preserve"> </w:t>
      </w:r>
      <w:r>
        <w:t>set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rPr>
          <w:b/>
        </w:rPr>
        <w:t>F</w:t>
      </w:r>
      <w:r>
        <w:t>.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fact,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if</w:t>
      </w:r>
      <w:r w:rsidR="00B71607" w:rsidRPr="00B71607">
        <w:t xml:space="preserve"> </w:t>
      </w:r>
      <w:r>
        <w:t>aping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school,</w:t>
      </w:r>
      <w:r w:rsidR="00B71607" w:rsidRPr="00B71607">
        <w:t xml:space="preserve"> </w:t>
      </w:r>
      <w:r>
        <w:t>he</w:t>
      </w:r>
      <w:r w:rsidR="00B71607" w:rsidRPr="00B71607">
        <w:t xml:space="preserve"> </w:t>
      </w:r>
      <w:r>
        <w:t>refers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output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t>FE</w:t>
      </w:r>
      <w:r w:rsidR="00B71607" w:rsidRPr="00B71607">
        <w:t xml:space="preserve"> </w:t>
      </w:r>
      <w:r>
        <w:t>(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>
        <w:rPr>
          <w:bCs/>
        </w:rPr>
        <w:t>=</w:t>
      </w:r>
      <w:r w:rsidR="00B71607" w:rsidRPr="00B71607">
        <w:rPr>
          <w:bCs/>
        </w:rPr>
        <w:t xml:space="preserve"> </w:t>
      </w:r>
      <w:r w:rsidRPr="002D1973">
        <w:rPr>
          <w:bCs/>
        </w:rPr>
        <w:t>∆</w:t>
      </w:r>
      <w:r>
        <w:rPr>
          <w:b/>
          <w:bCs/>
        </w:rPr>
        <w:t>F</w:t>
      </w:r>
      <w:r>
        <w:rPr>
          <w:bCs/>
        </w:rPr>
        <w:t>/</w:t>
      </w:r>
      <w:r>
        <w:rPr>
          <w:b/>
          <w:bCs/>
        </w:rPr>
        <w:t>F</w:t>
      </w:r>
      <w:r>
        <w:t>)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“natural.”</w:t>
      </w:r>
      <w:r w:rsidR="00B71607" w:rsidRPr="00B71607">
        <w:t xml:space="preserve"> </w:t>
      </w:r>
      <w:r>
        <w:t>However,</w:t>
      </w:r>
      <w:r w:rsidR="00B71607" w:rsidRPr="00B71607">
        <w:t xml:space="preserve"> </w:t>
      </w:r>
      <w:r w:rsidRPr="00D4213A">
        <w:rPr>
          <w:noProof/>
        </w:rPr>
        <w:t>Harrod</w:t>
      </w:r>
      <w:r w:rsidR="00B71607" w:rsidRPr="00B71607">
        <w:t xml:space="preserve"> </w:t>
      </w:r>
      <w:r>
        <w:t>followed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tr</w:t>
      </w:r>
      <w:r>
        <w:t>a</w:t>
      </w:r>
      <w:r>
        <w:t>dition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examine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medium</w:t>
      </w:r>
      <w:r w:rsidR="00B71607" w:rsidRPr="00B71607">
        <w:t xml:space="preserve"> </w:t>
      </w:r>
      <w:r>
        <w:t>run</w:t>
      </w:r>
      <w:r w:rsidR="00B71607" w:rsidRPr="00B71607">
        <w:t xml:space="preserve"> </w:t>
      </w:r>
      <w:r>
        <w:t>before</w:t>
      </w:r>
      <w:r w:rsidR="00B71607" w:rsidRPr="00B71607">
        <w:t xml:space="preserve"> </w:t>
      </w:r>
      <w:r>
        <w:t>turning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longer-run</w:t>
      </w:r>
      <w:r w:rsidR="00B71607" w:rsidRPr="00B71607">
        <w:t xml:space="preserve"> </w:t>
      </w:r>
      <w:r>
        <w:t>analysis.</w:t>
      </w:r>
    </w:p>
    <w:p w:rsidR="006B3DED" w:rsidRDefault="006B3DED" w:rsidP="006B3DED">
      <w:pPr>
        <w:spacing w:line="240" w:lineRule="auto"/>
        <w:rPr>
          <w:color w:val="000000"/>
        </w:rPr>
      </w:pPr>
      <w:r w:rsidRPr="00D4213A">
        <w:rPr>
          <w:noProof/>
        </w:rPr>
        <w:t>Harrod’s</w:t>
      </w:r>
      <w:r w:rsidR="00B71607" w:rsidRPr="00B71607">
        <w:rPr>
          <w:noProof/>
        </w:rPr>
        <w:t xml:space="preserve"> </w:t>
      </w:r>
      <w:r>
        <w:rPr>
          <w:i/>
          <w:noProof/>
        </w:rPr>
        <w:t>Essay</w:t>
      </w:r>
      <w:r w:rsidR="00B71607" w:rsidRPr="00B71607">
        <w:t xml:space="preserve"> </w:t>
      </w:r>
      <w:r>
        <w:t>assumes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simplest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Cross</w:t>
      </w:r>
      <w:r w:rsidR="00B71607" w:rsidRPr="00B71607">
        <w:t xml:space="preserve"> </w:t>
      </w:r>
      <w:r>
        <w:t>(KC)</w:t>
      </w:r>
      <w:r w:rsidR="00B71607" w:rsidRPr="00B71607">
        <w:t xml:space="preserve"> </w:t>
      </w:r>
      <w:r>
        <w:t>model.</w:t>
      </w:r>
      <w:bookmarkStart w:id="4" w:name="_Ref407082916"/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>
        <w:t>side,</w:t>
      </w:r>
      <w:r w:rsidR="00B71607" w:rsidRPr="00B71607">
        <w:t xml:space="preserve"> </w:t>
      </w:r>
      <w:bookmarkStart w:id="5" w:name="_Ref407082927"/>
      <w:bookmarkEnd w:id="4"/>
      <w:r>
        <w:t>planned</w:t>
      </w:r>
      <w:r w:rsidR="00B71607" w:rsidRPr="00B71607">
        <w:t xml:space="preserve"> </w:t>
      </w:r>
      <w:r>
        <w:t>net</w:t>
      </w:r>
      <w:r w:rsidR="00B71607" w:rsidRPr="00B71607">
        <w:t xml:space="preserve"> </w:t>
      </w:r>
      <w:r>
        <w:t>fixed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(</w:t>
      </w:r>
      <w:r>
        <w:rPr>
          <w:rFonts w:eastAsiaTheme="minorEastAsia"/>
          <w:b/>
        </w:rPr>
        <w:t>I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B71607" w:rsidRPr="00B71607">
        <w:rPr>
          <w:rFonts w:eastAsiaTheme="minorEastAsia"/>
        </w:rPr>
        <w:t xml:space="preserve"> </w:t>
      </w:r>
      <w:r w:rsidRPr="00CC7416">
        <w:t>∆</w:t>
      </w:r>
      <w:r>
        <w:rPr>
          <w:b/>
        </w:rPr>
        <w:t>K</w:t>
      </w:r>
      <w:r>
        <w:t>)</w:t>
      </w:r>
      <w:r w:rsidR="00B71607" w:rsidRPr="00B71607">
        <w:t xml:space="preserve"> </w:t>
      </w:r>
      <w:r w:rsidRPr="008147DB">
        <w:rPr>
          <w:color w:val="000000"/>
        </w:rPr>
        <w:t>is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only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“injection”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into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circular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flow</w:t>
      </w:r>
      <w:r w:rsidR="00B71607" w:rsidRPr="00B71607">
        <w:rPr>
          <w:color w:val="000000"/>
        </w:rPr>
        <w:t xml:space="preserve"> </w:t>
      </w:r>
      <w:r>
        <w:t>of</w:t>
      </w:r>
      <w:r w:rsidR="00B71607" w:rsidRPr="00B71607">
        <w:t xml:space="preserve"> </w:t>
      </w:r>
      <w:r>
        <w:t>i</w:t>
      </w:r>
      <w:r>
        <w:t>n</w:t>
      </w:r>
      <w:r>
        <w:t>come,</w:t>
      </w:r>
      <w:r w:rsidR="00B71607" w:rsidRPr="00B71607">
        <w:t xml:space="preserve"> </w:t>
      </w:r>
      <w:r>
        <w:t>spending,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output,</w:t>
      </w:r>
      <w:r w:rsidR="00B71607" w:rsidRPr="00B71607">
        <w:t xml:space="preserve"> </w:t>
      </w:r>
      <w:r>
        <w:rPr>
          <w:color w:val="000000"/>
        </w:rPr>
        <w:t>i.e.,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only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element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of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spending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independent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of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current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value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of</w:t>
      </w:r>
      <w:r w:rsidR="00B71607" w:rsidRPr="00B71607">
        <w:rPr>
          <w:color w:val="000000"/>
        </w:rPr>
        <w:t xml:space="preserve"> </w:t>
      </w:r>
      <w:bookmarkStart w:id="6" w:name="_Ref407082935"/>
      <w:bookmarkEnd w:id="5"/>
      <w:r>
        <w:rPr>
          <w:b/>
          <w:color w:val="000000"/>
        </w:rPr>
        <w:t>Y</w:t>
      </w:r>
      <w:r>
        <w:rPr>
          <w:color w:val="000000"/>
        </w:rPr>
        <w:t>.</w:t>
      </w:r>
      <w:bookmarkEnd w:id="6"/>
      <w:r>
        <w:rPr>
          <w:rStyle w:val="EndnoteReference"/>
          <w:color w:val="000000"/>
        </w:rPr>
        <w:endnoteReference w:id="10"/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other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hand,</w:t>
      </w:r>
      <w:r w:rsidR="00B71607" w:rsidRPr="00B71607">
        <w:rPr>
          <w:color w:val="000000"/>
        </w:rPr>
        <w:t xml:space="preserve"> </w:t>
      </w:r>
      <w:r>
        <w:t>(net)</w:t>
      </w:r>
      <w:r w:rsidR="00B71607" w:rsidRPr="00B71607">
        <w:t xml:space="preserve"> </w:t>
      </w:r>
      <w:r>
        <w:t>saving</w:t>
      </w:r>
      <w:r w:rsidR="00B71607" w:rsidRPr="00B71607">
        <w:t xml:space="preserve"> </w:t>
      </w:r>
      <w:r>
        <w:t>(</w:t>
      </w:r>
      <w:r w:rsidRPr="00AB5670">
        <w:rPr>
          <w:b/>
        </w:rPr>
        <w:t>S</w:t>
      </w:r>
      <w:r>
        <w:t>)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proofErr w:type="spellStart"/>
      <w:r w:rsidRPr="008147DB">
        <w:rPr>
          <w:b/>
          <w:i/>
          <w:color w:val="000000"/>
        </w:rPr>
        <w:t>s</w:t>
      </w:r>
      <w:r w:rsidRPr="008147DB">
        <w:rPr>
          <w:color w:val="000000"/>
        </w:rPr>
        <w:t>·</w:t>
      </w:r>
      <w:r>
        <w:rPr>
          <w:b/>
          <w:color w:val="000000"/>
        </w:rPr>
        <w:t>Y</w:t>
      </w:r>
      <w:proofErr w:type="spellEnd"/>
      <w:r w:rsidR="00B71607" w:rsidRPr="00B71607">
        <w:rPr>
          <w:color w:val="000000"/>
        </w:rPr>
        <w:t xml:space="preserve"> </w:t>
      </w:r>
      <w:r>
        <w:t>is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only</w:t>
      </w:r>
      <w:r w:rsidR="00B71607" w:rsidRPr="00B71607">
        <w:t xml:space="preserve"> </w:t>
      </w:r>
      <w:r>
        <w:t>“leakage”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flow,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>
        <w:t>saving</w:t>
      </w:r>
      <w:r w:rsidR="00B71607" w:rsidRPr="00B71607">
        <w:t xml:space="preserve"> </w:t>
      </w:r>
      <w:r>
        <w:t>has</w:t>
      </w:r>
      <w:r w:rsidR="00B71607" w:rsidRPr="00B71607">
        <w:t xml:space="preserve"> </w:t>
      </w:r>
      <w:r>
        <w:rPr>
          <w:color w:val="000000"/>
        </w:rPr>
        <w:t>no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autonomous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component.</w:t>
      </w:r>
      <w:r w:rsidR="00B71607" w:rsidRPr="00B71607">
        <w:rPr>
          <w:color w:val="000000"/>
        </w:rPr>
        <w:t xml:space="preserve"> </w:t>
      </w:r>
      <w:r>
        <w:rPr>
          <w:b/>
        </w:rPr>
        <w:t>S</w:t>
      </w:r>
      <w:r w:rsidR="00B71607" w:rsidRPr="00B71607">
        <w:t xml:space="preserve"> </w:t>
      </w:r>
      <w:r>
        <w:t>may</w:t>
      </w:r>
      <w:r w:rsidR="00B71607" w:rsidRPr="00B71607">
        <w:t xml:space="preserve"> </w:t>
      </w:r>
      <w:r>
        <w:t>include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government’s</w:t>
      </w:r>
      <w:r w:rsidR="00B71607" w:rsidRPr="00B71607">
        <w:t xml:space="preserve"> </w:t>
      </w:r>
      <w:r>
        <w:t>budget</w:t>
      </w:r>
      <w:r w:rsidR="00B71607" w:rsidRPr="00B71607">
        <w:t xml:space="preserve"> </w:t>
      </w:r>
      <w:r>
        <w:t>su</w:t>
      </w:r>
      <w:r>
        <w:t>r</w:t>
      </w:r>
      <w:r>
        <w:t>plus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country’s</w:t>
      </w:r>
      <w:r w:rsidR="00B71607" w:rsidRPr="00B71607">
        <w:t xml:space="preserve"> </w:t>
      </w:r>
      <w:r>
        <w:t>trade</w:t>
      </w:r>
      <w:r w:rsidR="00B71607" w:rsidRPr="00B71607">
        <w:t xml:space="preserve"> </w:t>
      </w:r>
      <w:r>
        <w:t>deficit</w:t>
      </w:r>
      <w:r w:rsidR="00B71607" w:rsidRPr="00B71607">
        <w:t xml:space="preserve"> </w:t>
      </w:r>
      <w:r>
        <w:t>(i.e.,</w:t>
      </w:r>
      <w:r w:rsidR="00B71607" w:rsidRPr="00B71607">
        <w:t xml:space="preserve"> </w:t>
      </w:r>
      <w:r>
        <w:t>net</w:t>
      </w:r>
      <w:r w:rsidR="00B71607" w:rsidRPr="00B71607">
        <w:t xml:space="preserve"> </w:t>
      </w:r>
      <w:r>
        <w:t>financial</w:t>
      </w:r>
      <w:r w:rsidR="00B71607" w:rsidRPr="00B71607">
        <w:t xml:space="preserve"> </w:t>
      </w:r>
      <w:r>
        <w:t>inflow)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addition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private</w:t>
      </w:r>
      <w:r w:rsidR="00B71607" w:rsidRPr="00B71607">
        <w:t xml:space="preserve"> </w:t>
      </w:r>
      <w:r>
        <w:t>domestic</w:t>
      </w:r>
      <w:r w:rsidR="00B71607" w:rsidRPr="00B71607">
        <w:t xml:space="preserve"> </w:t>
      </w:r>
      <w:r>
        <w:t>saving,</w:t>
      </w:r>
      <w:r w:rsidR="00B71607" w:rsidRPr="00B71607">
        <w:t xml:space="preserve"> </w:t>
      </w:r>
      <w:r>
        <w:t>just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rPr>
          <w:b/>
        </w:rPr>
        <w:t>I</w:t>
      </w:r>
      <w:r w:rsidR="00B71607" w:rsidRPr="00B71607">
        <w:t xml:space="preserve"> </w:t>
      </w:r>
      <w:r>
        <w:t>may</w:t>
      </w:r>
      <w:r w:rsidR="00B71607" w:rsidRPr="00B71607">
        <w:t xml:space="preserve"> </w:t>
      </w:r>
      <w:r>
        <w:t>include</w:t>
      </w:r>
      <w:r w:rsidR="00B71607" w:rsidRPr="00B71607">
        <w:t xml:space="preserve"> </w:t>
      </w:r>
      <w:r>
        <w:t>government</w:t>
      </w:r>
      <w:r w:rsidR="00B71607" w:rsidRPr="00B71607">
        <w:t xml:space="preserve"> </w:t>
      </w:r>
      <w:r>
        <w:t>investment.</w:t>
      </w:r>
      <w:r w:rsidR="00B71607" w:rsidRPr="00B71607">
        <w:t xml:space="preserve"> </w:t>
      </w:r>
      <w:r>
        <w:t>However,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do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bring</w:t>
      </w:r>
      <w:r w:rsidR="00B71607" w:rsidRPr="00B71607">
        <w:t xml:space="preserve"> </w:t>
      </w:r>
      <w:r>
        <w:t>these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here.</w:t>
      </w:r>
      <w:r w:rsidR="00B71607" w:rsidRPr="00B71607">
        <w:t xml:space="preserve"> </w:t>
      </w:r>
    </w:p>
    <w:p w:rsidR="006B3DED" w:rsidRDefault="006B3DED" w:rsidP="006B3DED">
      <w:pPr>
        <w:spacing w:line="240" w:lineRule="auto"/>
      </w:pPr>
      <w:r>
        <w:t>I</w:t>
      </w:r>
      <w:r w:rsidR="00B71607" w:rsidRPr="00B71607">
        <w:t xml:space="preserve"> </w:t>
      </w:r>
      <w:r>
        <w:t>see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main</w:t>
      </w:r>
      <w:r w:rsidR="00B71607" w:rsidRPr="00B71607">
        <w:t xml:space="preserve"> </w:t>
      </w:r>
      <w:r>
        <w:t>contribution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being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supply</w:t>
      </w:r>
      <w:r w:rsidR="00B71607" w:rsidRPr="00B71607">
        <w:t xml:space="preserve"> </w:t>
      </w:r>
      <w:r>
        <w:t>side.</w:t>
      </w:r>
      <w:r w:rsidR="00B71607" w:rsidRPr="00B71607">
        <w:t xml:space="preserve"> </w:t>
      </w:r>
      <w:r>
        <w:t>He</w:t>
      </w:r>
      <w:r w:rsidR="00B71607" w:rsidRPr="00B71607">
        <w:t xml:space="preserve"> </w:t>
      </w:r>
      <w:r>
        <w:t>aimed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extend</w:t>
      </w:r>
      <w:r w:rsidR="00B71607" w:rsidRPr="00B71607">
        <w:t xml:space="preserve"> </w:t>
      </w:r>
      <w:r w:rsidR="0026428B">
        <w:t xml:space="preserve">the scope of the application of </w:t>
      </w:r>
      <w:r>
        <w:t>KC</w:t>
      </w:r>
      <w:r w:rsidR="00B71607" w:rsidRPr="00B71607">
        <w:t xml:space="preserve"> </w:t>
      </w:r>
      <w:r>
        <w:t>models</w:t>
      </w:r>
      <w:r w:rsidR="0026428B">
        <w:t xml:space="preserve">. The latter had been </w:t>
      </w:r>
      <w:r>
        <w:t>restricted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short</w:t>
      </w:r>
      <w:r w:rsidR="00B71607" w:rsidRPr="00B71607">
        <w:t xml:space="preserve"> </w:t>
      </w:r>
      <w:r w:rsidR="0026428B">
        <w:t>run</w:t>
      </w:r>
      <w:r w:rsidR="00B71607" w:rsidRPr="00B71607">
        <w:t xml:space="preserve"> </w:t>
      </w:r>
      <w:r>
        <w:t>(KSR).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“run,”</w:t>
      </w:r>
      <w:r w:rsidR="00B71607" w:rsidRPr="00B71607">
        <w:t xml:space="preserve"> </w:t>
      </w:r>
      <w:r>
        <w:t>even</w:t>
      </w:r>
      <w:r w:rsidR="00B71607" w:rsidRPr="00B71607">
        <w:t xml:space="preserve"> </w:t>
      </w:r>
      <w:r>
        <w:t>though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helps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determine</w:t>
      </w:r>
      <w:r w:rsidR="00B71607" w:rsidRPr="00B71607">
        <w:t xml:space="preserve"> </w:t>
      </w:r>
      <w:r>
        <w:rPr>
          <w:b/>
        </w:rPr>
        <w:t>Y</w:t>
      </w:r>
      <w:r>
        <w:t>,</w:t>
      </w:r>
      <w:r w:rsidR="00B71607" w:rsidRPr="00B71607">
        <w:t xml:space="preserve"> </w:t>
      </w:r>
      <w:r>
        <w:t>it</w:t>
      </w:r>
      <w:r w:rsidR="00B71607" w:rsidRPr="00B71607">
        <w:t xml:space="preserve"> </w:t>
      </w:r>
      <w:r>
        <w:t>has</w:t>
      </w:r>
      <w:r w:rsidR="00B71607" w:rsidRPr="00B71607">
        <w:t xml:space="preserve"> </w:t>
      </w:r>
      <w:r>
        <w:t>no</w:t>
      </w:r>
      <w:r w:rsidR="00B71607" w:rsidRPr="00B71607">
        <w:t xml:space="preserve"> </w:t>
      </w:r>
      <w:r>
        <w:t>impact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useable</w:t>
      </w:r>
      <w:r w:rsidR="00B71607" w:rsidRPr="00B71607">
        <w:t xml:space="preserve"> </w:t>
      </w:r>
      <w:r>
        <w:t>stock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goods</w:t>
      </w:r>
      <w:r w:rsidR="00B71607" w:rsidRPr="00B71607">
        <w:t xml:space="preserve"> </w:t>
      </w:r>
      <w:r>
        <w:t>(</w:t>
      </w:r>
      <w:r w:rsidRPr="00AB5670">
        <w:rPr>
          <w:b/>
        </w:rPr>
        <w:t>K</w:t>
      </w:r>
      <w:r>
        <w:t>)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output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t>full</w:t>
      </w:r>
      <w:r w:rsidR="00B71607" w:rsidRPr="00B71607">
        <w:t xml:space="preserve"> </w:t>
      </w:r>
      <w:r>
        <w:t>capacity</w:t>
      </w:r>
      <w:r w:rsidR="00B71607" w:rsidRPr="00B71607">
        <w:t xml:space="preserve"> </w:t>
      </w:r>
      <w:r>
        <w:t>utilization</w:t>
      </w:r>
      <w:r w:rsidR="00B71607" w:rsidRPr="00B71607">
        <w:t xml:space="preserve"> </w:t>
      </w:r>
      <w:r>
        <w:t>(</w:t>
      </w:r>
      <w:r w:rsidRPr="00AB5670">
        <w:rPr>
          <w:b/>
        </w:rPr>
        <w:t>Z</w:t>
      </w:r>
      <w:r>
        <w:t>).</w:t>
      </w:r>
      <w:r w:rsidR="00B71607" w:rsidRPr="00B71607">
        <w:t xml:space="preserve"> </w:t>
      </w:r>
      <w:r>
        <w:t>He</w:t>
      </w:r>
      <w:r w:rsidR="00B71607" w:rsidRPr="00B71607">
        <w:t xml:space="preserve"> </w:t>
      </w:r>
      <w:r>
        <w:t>replaced</w:t>
      </w:r>
      <w:r w:rsidR="00B71607" w:rsidRPr="00B71607">
        <w:t xml:space="preserve"> </w:t>
      </w:r>
      <w:r>
        <w:t>KSR</w:t>
      </w:r>
      <w:r w:rsidR="00B71607" w:rsidRPr="00B71607">
        <w:t xml:space="preserve"> </w:t>
      </w:r>
      <w:r>
        <w:t>analysis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(what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call)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rPr>
          <w:i/>
        </w:rPr>
        <w:t>Harrodian</w:t>
      </w:r>
      <w:r w:rsidR="00B71607" w:rsidRPr="00B71607">
        <w:t xml:space="preserve"> </w:t>
      </w:r>
      <w:r w:rsidRPr="00AB561F">
        <w:rPr>
          <w:i/>
        </w:rPr>
        <w:t>Medium</w:t>
      </w:r>
      <w:r w:rsidR="00B71607" w:rsidRPr="00B71607">
        <w:t xml:space="preserve"> </w:t>
      </w:r>
      <w:r w:rsidRPr="00AB561F">
        <w:rPr>
          <w:i/>
        </w:rPr>
        <w:t>Run</w:t>
      </w:r>
      <w:r w:rsidR="00B71607" w:rsidRPr="00B71607">
        <w:t xml:space="preserve"> </w:t>
      </w:r>
      <w:r>
        <w:t>(HMR):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run,</w:t>
      </w:r>
      <w:r w:rsidR="00B71607" w:rsidRPr="00B71607">
        <w:t xml:space="preserve"> </w:t>
      </w:r>
      <w:r w:rsidR="0026428B">
        <w:t xml:space="preserve">both </w:t>
      </w:r>
      <w:r w:rsidRPr="00AB5670">
        <w:rPr>
          <w:b/>
        </w:rPr>
        <w:t>K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 w:rsidRPr="00AB5670">
        <w:rPr>
          <w:b/>
        </w:rPr>
        <w:t>Z</w:t>
      </w:r>
      <w:r w:rsidR="00B71607" w:rsidRPr="00B71607">
        <w:t xml:space="preserve"> </w:t>
      </w:r>
      <w:r>
        <w:t>typically</w:t>
      </w:r>
      <w:r w:rsidR="00B71607" w:rsidRPr="00B71607">
        <w:t xml:space="preserve"> </w:t>
      </w:r>
      <w:r>
        <w:t>rise.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non-NC</w:t>
      </w:r>
      <w:r w:rsidR="00B71607" w:rsidRPr="00B71607">
        <w:t xml:space="preserve"> </w:t>
      </w:r>
      <w:r>
        <w:t>accelerator</w:t>
      </w:r>
      <w:r w:rsidR="00B71607" w:rsidRPr="00B71607">
        <w:t xml:space="preserve"> </w:t>
      </w:r>
      <w:r>
        <w:t>models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investment,</w:t>
      </w:r>
      <w:r w:rsidR="00B71607" w:rsidRPr="00B71607">
        <w:t xml:space="preserve"> </w:t>
      </w:r>
      <w:r>
        <w:t>those</w:t>
      </w:r>
      <w:r w:rsidR="00B71607" w:rsidRPr="00B71607">
        <w:t xml:space="preserve"> </w:t>
      </w:r>
      <w:r>
        <w:t>two</w:t>
      </w:r>
      <w:r w:rsidR="00B71607" w:rsidRPr="00B71607">
        <w:t xml:space="preserve"> </w:t>
      </w:r>
      <w:r>
        <w:t>variables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linked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fixed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coefficient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capital-output</w:t>
      </w:r>
      <w:r w:rsidR="00B71607" w:rsidRPr="00B71607">
        <w:t xml:space="preserve"> </w:t>
      </w:r>
      <w:r>
        <w:t>ratio</w:t>
      </w:r>
      <w:r w:rsidR="00B71607" w:rsidRPr="00B71607">
        <w:t xml:space="preserve"> </w:t>
      </w:r>
      <w:r>
        <w:t>(</w:t>
      </w:r>
      <w:r>
        <w:rPr>
          <w:b/>
          <w:i/>
        </w:rPr>
        <w:t>c</w:t>
      </w:r>
      <w:r>
        <w:rPr>
          <w:color w:val="000000"/>
        </w:rPr>
        <w:t>)</w:t>
      </w:r>
      <w:r>
        <w:t>.</w:t>
      </w:r>
      <w:r w:rsidR="0026428B">
        <w:t xml:space="preserve"> D</w:t>
      </w:r>
      <w:r>
        <w:t>uring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HMR,</w:t>
      </w:r>
      <w:r w:rsidR="00B71607" w:rsidRPr="00B71607">
        <w:t xml:space="preserve"> </w:t>
      </w:r>
      <w:r>
        <w:rPr>
          <w:b/>
          <w:i/>
        </w:rPr>
        <w:t>c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constant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equal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incremental</w:t>
      </w:r>
      <w:r w:rsidR="00B71607" w:rsidRPr="00B71607">
        <w:t xml:space="preserve"> </w:t>
      </w:r>
      <w:r>
        <w:t>capital-output</w:t>
      </w:r>
      <w:r w:rsidR="00B71607" w:rsidRPr="00B71607">
        <w:t xml:space="preserve"> </w:t>
      </w:r>
      <w:r>
        <w:t>ratio.</w:t>
      </w:r>
      <w:r w:rsidR="00B71607" w:rsidRPr="00B71607">
        <w:t xml:space="preserve"> </w:t>
      </w:r>
      <w:r w:rsidR="0026428B">
        <w:t>(The</w:t>
      </w:r>
      <w:r w:rsidR="0026428B" w:rsidRPr="00B71607">
        <w:t xml:space="preserve"> </w:t>
      </w:r>
      <w:r w:rsidR="0026428B">
        <w:t>HMR</w:t>
      </w:r>
      <w:r w:rsidR="0026428B" w:rsidRPr="00B71607">
        <w:t xml:space="preserve"> </w:t>
      </w:r>
      <w:r w:rsidR="0026428B">
        <w:t>seems</w:t>
      </w:r>
      <w:r w:rsidR="0026428B" w:rsidRPr="00B71607">
        <w:t xml:space="preserve"> </w:t>
      </w:r>
      <w:r w:rsidR="0026428B">
        <w:t>to</w:t>
      </w:r>
      <w:r w:rsidR="0026428B" w:rsidRPr="00B71607">
        <w:t xml:space="preserve"> </w:t>
      </w:r>
      <w:r w:rsidR="0026428B">
        <w:t>be</w:t>
      </w:r>
      <w:r w:rsidR="0026428B" w:rsidRPr="00B71607">
        <w:t xml:space="preserve"> </w:t>
      </w:r>
      <w:r w:rsidR="0026428B">
        <w:t>on</w:t>
      </w:r>
      <w:r w:rsidR="0026428B" w:rsidRPr="00B71607">
        <w:t xml:space="preserve"> </w:t>
      </w:r>
      <w:r w:rsidR="0026428B">
        <w:t>the</w:t>
      </w:r>
      <w:r w:rsidR="0026428B" w:rsidRPr="00B71607">
        <w:t xml:space="preserve"> </w:t>
      </w:r>
      <w:r w:rsidR="0026428B">
        <w:t>order</w:t>
      </w:r>
      <w:r w:rsidR="0026428B" w:rsidRPr="00B71607">
        <w:t xml:space="preserve"> </w:t>
      </w:r>
      <w:r w:rsidR="0026428B">
        <w:t>of</w:t>
      </w:r>
      <w:r w:rsidR="0026428B" w:rsidRPr="00B71607">
        <w:t xml:space="preserve"> </w:t>
      </w:r>
      <w:r w:rsidR="0026428B">
        <w:t>a</w:t>
      </w:r>
      <w:r w:rsidR="0026428B" w:rsidRPr="00B71607">
        <w:t xml:space="preserve"> </w:t>
      </w:r>
      <w:r w:rsidR="0026428B">
        <w:t>calendar</w:t>
      </w:r>
      <w:r w:rsidR="0026428B" w:rsidRPr="00B71607">
        <w:t xml:space="preserve"> </w:t>
      </w:r>
      <w:r w:rsidR="0026428B">
        <w:t xml:space="preserve">year.) </w:t>
      </w:r>
      <w:r>
        <w:t>This</w:t>
      </w:r>
      <w:r w:rsidR="00B71607" w:rsidRPr="00B71607">
        <w:t xml:space="preserve"> </w:t>
      </w:r>
      <w:r w:rsidR="0026428B">
        <w:t xml:space="preserve">in turn </w:t>
      </w:r>
      <w:r>
        <w:t>means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increase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capacity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determined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net</w:t>
      </w:r>
      <w:r w:rsidR="00B71607" w:rsidRPr="00B71607">
        <w:t xml:space="preserve"> </w:t>
      </w:r>
      <w:r>
        <w:t>fixed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(</w:t>
      </w:r>
      <w:r>
        <w:rPr>
          <w:b/>
        </w:rPr>
        <w:t>I</w:t>
      </w:r>
      <w:r>
        <w:t>):</w:t>
      </w:r>
      <w:r w:rsidR="00B71607" w:rsidRPr="00B7160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738"/>
      </w:tblGrid>
      <w:tr w:rsidR="006B3DED" w:rsidRPr="003A14B1" w:rsidTr="00B71607">
        <w:tc>
          <w:tcPr>
            <w:tcW w:w="8838" w:type="dxa"/>
          </w:tcPr>
          <w:p w:rsidR="006B3DED" w:rsidRPr="003A14B1" w:rsidRDefault="006B3DED" w:rsidP="00DE0247">
            <w:pPr>
              <w:jc w:val="center"/>
            </w:pPr>
            <w:r w:rsidRPr="003A14B1">
              <w:t>∆</w:t>
            </w:r>
            <w:r w:rsidRPr="003A14B1">
              <w:rPr>
                <w:b/>
              </w:rPr>
              <w:t>Z</w:t>
            </w:r>
            <w:r w:rsidR="00B71607" w:rsidRPr="00B71607">
              <w:t xml:space="preserve"> </w:t>
            </w:r>
            <w:r w:rsidRPr="003A14B1">
              <w:t>=</w:t>
            </w:r>
            <w:r w:rsidR="00B71607" w:rsidRPr="00B71607">
              <w:t xml:space="preserve"> </w:t>
            </w:r>
            <w:r w:rsidRPr="003A14B1">
              <w:t>∆</w:t>
            </w:r>
            <w:r w:rsidRPr="003A14B1">
              <w:rPr>
                <w:b/>
              </w:rPr>
              <w:t>K</w:t>
            </w:r>
            <w:r w:rsidRPr="003A14B1">
              <w:t>/</w:t>
            </w:r>
            <w:r w:rsidRPr="003A14B1">
              <w:rPr>
                <w:b/>
                <w:i/>
              </w:rPr>
              <w:t>c</w:t>
            </w:r>
            <w:r w:rsidR="00B71607" w:rsidRPr="00B71607">
              <w:t xml:space="preserve"> </w:t>
            </w:r>
            <w:r w:rsidRPr="003A14B1">
              <w:t>=</w:t>
            </w:r>
            <w:r w:rsidR="00DE0247">
              <w:t xml:space="preserve"> </w:t>
            </w:r>
            <w:r w:rsidR="00DE0247">
              <w:rPr>
                <w:b/>
              </w:rPr>
              <w:t>I</w:t>
            </w:r>
            <w:r w:rsidR="00DE0247">
              <w:t>/</w:t>
            </w:r>
            <w:r w:rsidRPr="003A14B1">
              <w:rPr>
                <w:b/>
                <w:i/>
              </w:rPr>
              <w:t>c</w:t>
            </w:r>
          </w:p>
        </w:tc>
        <w:tc>
          <w:tcPr>
            <w:tcW w:w="738" w:type="dxa"/>
          </w:tcPr>
          <w:p w:rsidR="006B3DED" w:rsidRPr="003A14B1" w:rsidRDefault="006B3DED" w:rsidP="00B71607">
            <w:bookmarkStart w:id="7" w:name="_Ref414288138"/>
            <w:bookmarkStart w:id="8" w:name="_Ref413751644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1</w:t>
            </w:r>
            <w:r w:rsidR="00321870">
              <w:rPr>
                <w:noProof/>
              </w:rPr>
              <w:fldChar w:fldCharType="end"/>
            </w:r>
            <w:bookmarkEnd w:id="7"/>
            <w:r>
              <w:rPr>
                <w:noProof/>
              </w:rPr>
              <w:t>)</w:t>
            </w:r>
            <w:bookmarkEnd w:id="8"/>
          </w:p>
        </w:tc>
      </w:tr>
    </w:tbl>
    <w:p w:rsidR="006B3DED" w:rsidRDefault="006B3DED" w:rsidP="006B3DED">
      <w:pPr>
        <w:spacing w:line="240" w:lineRule="auto"/>
      </w:pP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HMR,</w:t>
      </w:r>
      <w:r w:rsidR="00B71607" w:rsidRPr="00B71607">
        <w:t xml:space="preserve"> </w:t>
      </w:r>
      <w:r>
        <w:t>Harrod</w:t>
      </w:r>
      <w:r w:rsidR="00B71607" w:rsidRPr="00B71607">
        <w:t xml:space="preserve"> </w:t>
      </w:r>
      <w:r>
        <w:t>also</w:t>
      </w:r>
      <w:r w:rsidR="00B71607" w:rsidRPr="00B71607">
        <w:t xml:space="preserve"> </w:t>
      </w:r>
      <w:r>
        <w:t>assumed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saving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(</w:t>
      </w:r>
      <w:r>
        <w:rPr>
          <w:b/>
          <w:i/>
        </w:rPr>
        <w:t>s</w:t>
      </w:r>
      <w:r>
        <w:t>)</w:t>
      </w:r>
      <w:r w:rsidR="00B71607" w:rsidRPr="00B71607">
        <w:t xml:space="preserve"> </w:t>
      </w:r>
      <w:r>
        <w:t>was</w:t>
      </w:r>
      <w:r w:rsidR="00B71607" w:rsidRPr="00B71607">
        <w:t xml:space="preserve"> </w:t>
      </w:r>
      <w:r>
        <w:t>constant.</w:t>
      </w:r>
      <w:r w:rsidR="00B71607" w:rsidRPr="00B71607">
        <w:t xml:space="preserve"> </w:t>
      </w:r>
      <w:r>
        <w:t>Below,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show</w:t>
      </w:r>
      <w:r w:rsidR="00B71607" w:rsidRPr="00B71607">
        <w:t xml:space="preserve"> </w:t>
      </w:r>
      <w:r>
        <w:t>how</w:t>
      </w:r>
      <w:r w:rsidR="00B71607" w:rsidRPr="00B71607">
        <w:t xml:space="preserve"> </w:t>
      </w:r>
      <w:r>
        <w:rPr>
          <w:b/>
          <w:i/>
        </w:rPr>
        <w:t>c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rPr>
          <w:b/>
          <w:i/>
        </w:rPr>
        <w:t>s</w:t>
      </w:r>
      <w:r w:rsidR="00B71607" w:rsidRPr="00B71607">
        <w:t xml:space="preserve"> </w:t>
      </w:r>
      <w:r>
        <w:t>determine</w:t>
      </w:r>
      <w:r w:rsidR="00B71607" w:rsidRPr="00B71607">
        <w:t xml:space="preserve"> </w:t>
      </w:r>
      <w:r>
        <w:t>Harrod’s</w:t>
      </w:r>
      <w:r w:rsidR="00B71607" w:rsidRPr="00B71607">
        <w:t xml:space="preserve"> </w:t>
      </w:r>
      <w:r>
        <w:t>warranted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</w:t>
      </w:r>
      <w:r w:rsidR="007679CD">
        <w:t xml:space="preserve"> of </w:t>
      </w:r>
      <w:r w:rsidR="007679CD" w:rsidRPr="007679CD">
        <w:rPr>
          <w:b/>
        </w:rPr>
        <w:t>Y</w:t>
      </w:r>
      <w:r w:rsidR="007679CD">
        <w:t>:</w:t>
      </w:r>
      <w:r w:rsidR="007B27C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738"/>
      </w:tblGrid>
      <w:tr w:rsidR="0026428B" w:rsidRPr="003A14B1" w:rsidTr="005C19EE">
        <w:tc>
          <w:tcPr>
            <w:tcW w:w="8838" w:type="dxa"/>
          </w:tcPr>
          <w:p w:rsidR="0026428B" w:rsidRPr="003A14B1" w:rsidRDefault="0026428B" w:rsidP="0026428B">
            <w:pPr>
              <w:jc w:val="center"/>
            </w:pPr>
            <w:proofErr w:type="spellStart"/>
            <w:r>
              <w:rPr>
                <w:b/>
              </w:rPr>
              <w:t>g</w:t>
            </w:r>
            <w:r>
              <w:rPr>
                <w:b/>
                <w:smallCaps/>
                <w:vertAlign w:val="subscript"/>
              </w:rPr>
              <w:t>w</w:t>
            </w:r>
            <w:proofErr w:type="spellEnd"/>
            <w:r w:rsidRPr="00B71607">
              <w:t xml:space="preserve"> </w:t>
            </w:r>
            <w:r w:rsidRPr="003A14B1">
              <w:t>=</w:t>
            </w:r>
            <w:r w:rsidRPr="00B71607">
              <w:t xml:space="preserve"> </w:t>
            </w:r>
            <w:r w:rsidRPr="0026428B">
              <w:rPr>
                <w:b/>
                <w:i/>
              </w:rPr>
              <w:t>s</w:t>
            </w:r>
            <w:r w:rsidRPr="003A14B1">
              <w:t>/</w:t>
            </w:r>
            <w:r w:rsidRPr="003A14B1">
              <w:rPr>
                <w:b/>
                <w:i/>
              </w:rPr>
              <w:t>c</w:t>
            </w:r>
            <w:r w:rsidRPr="00B71607">
              <w:t xml:space="preserve"> </w:t>
            </w:r>
          </w:p>
        </w:tc>
        <w:tc>
          <w:tcPr>
            <w:tcW w:w="738" w:type="dxa"/>
          </w:tcPr>
          <w:p w:rsidR="0026428B" w:rsidRPr="003A14B1" w:rsidRDefault="0026428B" w:rsidP="005C19EE">
            <w:bookmarkStart w:id="9" w:name="_Ref412970672"/>
            <w:bookmarkStart w:id="10" w:name="_Ref414452547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2</w:t>
            </w:r>
            <w:r w:rsidR="00321870">
              <w:rPr>
                <w:noProof/>
              </w:rPr>
              <w:fldChar w:fldCharType="end"/>
            </w:r>
            <w:bookmarkEnd w:id="9"/>
            <w:r>
              <w:rPr>
                <w:noProof/>
              </w:rPr>
              <w:t>)</w:t>
            </w:r>
            <w:bookmarkEnd w:id="10"/>
          </w:p>
        </w:tc>
      </w:tr>
    </w:tbl>
    <w:p w:rsidR="00592636" w:rsidRPr="00592636" w:rsidRDefault="00592636" w:rsidP="006B3DED">
      <w:pPr>
        <w:spacing w:line="240" w:lineRule="auto"/>
      </w:pPr>
      <w:r>
        <w:t xml:space="preserve">In </w:t>
      </w:r>
      <w:r w:rsidRPr="00220D2F">
        <w:t>§</w:t>
      </w:r>
      <w:r>
        <w:fldChar w:fldCharType="begin"/>
      </w:r>
      <w:r>
        <w:instrText xml:space="preserve"> REF _Ref409962657 \w \h </w:instrText>
      </w:r>
      <w:r>
        <w:fldChar w:fldCharType="separate"/>
      </w:r>
      <w:r w:rsidR="00292438">
        <w:t>II.A.1</w:t>
      </w:r>
      <w:r>
        <w:fldChar w:fldCharType="end"/>
      </w:r>
      <w:r>
        <w:t xml:space="preserve">, I derive this equation starting from a simple flexible accelerator model and then adding four ideal assumptions. One key result is that for Harrod’s moving equilibrium with </w:t>
      </w:r>
      <w:r>
        <w:rPr>
          <w:b/>
        </w:rPr>
        <w:t>g</w:t>
      </w:r>
      <w:r>
        <w:t xml:space="preserve"> =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w</w:t>
      </w:r>
      <w:proofErr w:type="spellEnd"/>
      <w:r>
        <w:t xml:space="preserve"> to make sense, we must </w:t>
      </w:r>
      <w:r w:rsidR="009728F3">
        <w:t xml:space="preserve">also </w:t>
      </w:r>
      <w:r>
        <w:t>a</w:t>
      </w:r>
      <w:r w:rsidR="009728F3">
        <w:t>ssume full capacity utilization</w:t>
      </w:r>
      <w:r>
        <w:t>.</w:t>
      </w:r>
    </w:p>
    <w:p w:rsidR="007679CD" w:rsidRDefault="007679CD" w:rsidP="006B3DED">
      <w:pPr>
        <w:spacing w:line="240" w:lineRule="auto"/>
      </w:pPr>
      <w:r>
        <w:t>Though this growth rate represents a moving equilibrium</w:t>
      </w:r>
      <w:r w:rsidR="003632C8">
        <w:t xml:space="preserve">, </w:t>
      </w:r>
      <w:r>
        <w:t xml:space="preserve">it is a “knife edge” (unstable): </w:t>
      </w:r>
      <w:r w:rsidR="00A437B9">
        <w:t>if the economy starts on this path and there are no exogenous shocks, the economy will co</w:t>
      </w:r>
      <w:r w:rsidR="00A437B9">
        <w:t>n</w:t>
      </w:r>
      <w:r w:rsidR="00A437B9">
        <w:t xml:space="preserve">tinue on the path, but any exogenous shocks cause </w:t>
      </w:r>
      <w:r>
        <w:t xml:space="preserve">either an </w:t>
      </w:r>
      <w:r w:rsidR="003632C8">
        <w:t xml:space="preserve">explosion </w:t>
      </w:r>
      <w:r>
        <w:t>or an</w:t>
      </w:r>
      <w:r w:rsidR="003632C8">
        <w:t xml:space="preserve"> implosion</w:t>
      </w:r>
      <w:r w:rsidR="00A437B9">
        <w:t xml:space="preserve"> as deviations of the actual growth rate (</w:t>
      </w:r>
      <w:r w:rsidR="00A437B9">
        <w:rPr>
          <w:b/>
        </w:rPr>
        <w:t>g</w:t>
      </w:r>
      <w:r w:rsidR="00A437B9">
        <w:t xml:space="preserve">) from </w:t>
      </w:r>
      <w:proofErr w:type="spellStart"/>
      <w:r w:rsidR="00A437B9">
        <w:rPr>
          <w:b/>
        </w:rPr>
        <w:t>g</w:t>
      </w:r>
      <w:r w:rsidR="00A437B9">
        <w:rPr>
          <w:b/>
          <w:smallCaps/>
          <w:vertAlign w:val="subscript"/>
        </w:rPr>
        <w:t>w</w:t>
      </w:r>
      <w:proofErr w:type="spellEnd"/>
      <w:r w:rsidR="00A437B9">
        <w:t xml:space="preserve"> cause positive feed-back. </w:t>
      </w:r>
      <w:r w:rsidR="008B3362">
        <w:t xml:space="preserve">Limits on these disasters </w:t>
      </w:r>
      <w:r>
        <w:t>aris</w:t>
      </w:r>
      <w:r w:rsidR="008B3362">
        <w:t>e</w:t>
      </w:r>
      <w:r>
        <w:t xml:space="preserve"> only from </w:t>
      </w:r>
      <w:r w:rsidR="008B3362">
        <w:t xml:space="preserve">factors </w:t>
      </w:r>
      <w:r>
        <w:t xml:space="preserve">outside of the model behind equation </w:t>
      </w:r>
      <w:r>
        <w:fldChar w:fldCharType="begin"/>
      </w:r>
      <w:r>
        <w:instrText xml:space="preserve"> REF _Ref412970672 \h </w:instrText>
      </w:r>
      <w:r>
        <w:fldChar w:fldCharType="separate"/>
      </w:r>
      <w:r w:rsidR="00292438">
        <w:t>(</w:t>
      </w:r>
      <w:r w:rsidR="00292438">
        <w:rPr>
          <w:noProof/>
        </w:rPr>
        <w:t>2</w:t>
      </w:r>
      <w:r>
        <w:fldChar w:fldCharType="end"/>
      </w:r>
      <w:r>
        <w:t xml:space="preserve">). </w:t>
      </w:r>
    </w:p>
    <w:p w:rsidR="006B3DED" w:rsidRDefault="006B3DED" w:rsidP="006B3DED">
      <w:pPr>
        <w:spacing w:line="240" w:lineRule="auto"/>
      </w:pPr>
      <w:r>
        <w:t>In</w:t>
      </w:r>
      <w:r w:rsidR="00B71607" w:rsidRPr="00B71607">
        <w:t xml:space="preserve"> </w:t>
      </w:r>
      <w:r>
        <w:t>his</w:t>
      </w:r>
      <w:r w:rsidR="00B71607" w:rsidRPr="00B71607">
        <w:t xml:space="preserve"> </w:t>
      </w:r>
      <w:r>
        <w:rPr>
          <w:i/>
        </w:rPr>
        <w:t>Essay</w:t>
      </w:r>
      <w:r>
        <w:t>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value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two</w:t>
      </w:r>
      <w:r w:rsidR="00B71607" w:rsidRPr="00B71607">
        <w:t xml:space="preserve"> </w:t>
      </w:r>
      <w:r>
        <w:t>key</w:t>
      </w:r>
      <w:r w:rsidR="00B71607" w:rsidRPr="00B71607">
        <w:t xml:space="preserve"> </w:t>
      </w:r>
      <w:r>
        <w:t>coefficients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do</w:t>
      </w:r>
      <w:r w:rsidR="00B71607" w:rsidRPr="00B71607">
        <w:t xml:space="preserve"> </w:t>
      </w:r>
      <w:r>
        <w:t>change</w:t>
      </w:r>
      <w:r w:rsidR="00B71607" w:rsidRPr="00B71607">
        <w:t xml:space="preserve"> </w:t>
      </w:r>
      <w:r>
        <w:t>over</w:t>
      </w:r>
      <w:r w:rsidR="00B71607" w:rsidRPr="00B71607">
        <w:t xml:space="preserve"> </w:t>
      </w:r>
      <w:r>
        <w:t>time.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rPr>
          <w:b/>
          <w:i/>
        </w:rPr>
        <w:t>c</w:t>
      </w:r>
      <w:r w:rsidR="00B71607" w:rsidRPr="00B71607">
        <w:t xml:space="preserve"> </w:t>
      </w:r>
      <w:r>
        <w:t>even</w:t>
      </w:r>
      <w:r w:rsidR="00B71607" w:rsidRPr="00B71607">
        <w:t xml:space="preserve"> </w:t>
      </w:r>
      <w:r>
        <w:t>changes</w:t>
      </w:r>
      <w:r w:rsidR="00B71607" w:rsidRPr="00B71607">
        <w:t xml:space="preserve"> </w:t>
      </w:r>
      <w:r>
        <w:t>“as</w:t>
      </w:r>
      <w:r w:rsidR="00B71607" w:rsidRPr="00B71607">
        <w:t xml:space="preserve"> </w:t>
      </w:r>
      <w:r>
        <w:t>income</w:t>
      </w:r>
      <w:r w:rsidR="00B71607" w:rsidRPr="00B71607">
        <w:t xml:space="preserve"> </w:t>
      </w:r>
      <w:r>
        <w:t>grows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different</w:t>
      </w:r>
      <w:r w:rsidR="00B71607" w:rsidRPr="00B71607">
        <w:t xml:space="preserve"> </w:t>
      </w:r>
      <w:r>
        <w:t>phases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trade</w:t>
      </w:r>
      <w:r w:rsidR="00B71607" w:rsidRPr="00B71607">
        <w:t xml:space="preserve"> </w:t>
      </w:r>
      <w:r>
        <w:t>cycle.”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fact,</w:t>
      </w:r>
      <w:r w:rsidR="00B71607" w:rsidRPr="00B71607">
        <w:t xml:space="preserve"> </w:t>
      </w:r>
      <w:r>
        <w:t>just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Solow,</w:t>
      </w:r>
      <w:r w:rsidR="00B71607" w:rsidRPr="00B71607">
        <w:t xml:space="preserve"> </w:t>
      </w:r>
      <w:r>
        <w:t>it</w:t>
      </w:r>
      <w:r w:rsidR="00B71607" w:rsidRPr="00B71607">
        <w:t xml:space="preserve"> </w:t>
      </w:r>
      <w:r>
        <w:t>“may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somewhat</w:t>
      </w:r>
      <w:r w:rsidR="00B71607" w:rsidRPr="00B71607">
        <w:t xml:space="preserve"> </w:t>
      </w:r>
      <w:r>
        <w:t>dependent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interest.”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interpret</w:t>
      </w:r>
      <w:r w:rsidR="00B71607" w:rsidRPr="00B71607">
        <w:t xml:space="preserve"> </w:t>
      </w:r>
      <w:r>
        <w:t>such</w:t>
      </w:r>
      <w:r w:rsidR="00B71607" w:rsidRPr="00B71607">
        <w:t xml:space="preserve"> </w:t>
      </w:r>
      <w:r>
        <w:t>changes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occurring</w:t>
      </w:r>
      <w:r w:rsidR="00B71607" w:rsidRPr="00B71607">
        <w:t xml:space="preserve"> </w:t>
      </w:r>
      <w:r w:rsidRPr="00B12ABA">
        <w:rPr>
          <w:i/>
        </w:rPr>
        <w:t>between</w:t>
      </w:r>
      <w:r w:rsidR="00B71607" w:rsidRPr="00B71607">
        <w:t xml:space="preserve"> </w:t>
      </w:r>
      <w:r>
        <w:t>HMR</w:t>
      </w:r>
      <w:r w:rsidR="00B71607" w:rsidRPr="00B71607">
        <w:t xml:space="preserve"> </w:t>
      </w:r>
      <w:r>
        <w:t>periods,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Pr="008F49F9">
        <w:rPr>
          <w:i/>
          <w:noProof/>
        </w:rPr>
        <w:t>Harrod</w:t>
      </w:r>
      <w:r w:rsidRPr="008F49F9">
        <w:rPr>
          <w:i/>
        </w:rPr>
        <w:t>ian</w:t>
      </w:r>
      <w:r w:rsidR="00B71607" w:rsidRPr="008F49F9">
        <w:rPr>
          <w:i/>
        </w:rPr>
        <w:t xml:space="preserve"> </w:t>
      </w:r>
      <w:r w:rsidRPr="008F49F9">
        <w:rPr>
          <w:i/>
        </w:rPr>
        <w:t>Longer</w:t>
      </w:r>
      <w:r w:rsidR="00B71607" w:rsidRPr="008F49F9">
        <w:rPr>
          <w:i/>
        </w:rPr>
        <w:t xml:space="preserve"> </w:t>
      </w:r>
      <w:r w:rsidRPr="008F49F9">
        <w:rPr>
          <w:i/>
        </w:rPr>
        <w:t>Run</w:t>
      </w:r>
      <w:r w:rsidR="00283CE7">
        <w:t xml:space="preserve"> (HLR)</w:t>
      </w:r>
      <w:r>
        <w:t>.</w:t>
      </w:r>
      <w:r>
        <w:rPr>
          <w:rStyle w:val="EndnoteReference"/>
        </w:rPr>
        <w:endnoteReference w:id="11"/>
      </w:r>
      <w:r w:rsidR="00DE0247">
        <w:t xml:space="preserve"> In these terms, Harrod’s analysis is </w:t>
      </w:r>
      <w:r w:rsidR="00F91FC6">
        <w:t xml:space="preserve">very </w:t>
      </w:r>
      <w:r w:rsidR="00DE0247">
        <w:t>relevant to moderate followers of the NC model who b</w:t>
      </w:r>
      <w:r w:rsidR="00DE0247">
        <w:t>e</w:t>
      </w:r>
      <w:r w:rsidR="00DE0247">
        <w:lastRenderedPageBreak/>
        <w:t xml:space="preserve">lieve </w:t>
      </w:r>
      <w:r w:rsidR="00F91FC6">
        <w:t>in the</w:t>
      </w:r>
      <w:r w:rsidR="007B27C8">
        <w:t xml:space="preserve"> </w:t>
      </w:r>
      <w:r w:rsidR="00DE0247">
        <w:t xml:space="preserve">factor substitution </w:t>
      </w:r>
      <w:r w:rsidR="00F91FC6">
        <w:t xml:space="preserve">that is so </w:t>
      </w:r>
      <w:r w:rsidR="00DE0247">
        <w:t xml:space="preserve">necessary to that model’s equilibration </w:t>
      </w:r>
      <w:r w:rsidR="008F49F9">
        <w:t xml:space="preserve">but do not see </w:t>
      </w:r>
      <w:r w:rsidR="00082BE0">
        <w:t>such</w:t>
      </w:r>
      <w:r w:rsidR="008F49F9">
        <w:t xml:space="preserve"> adjustment as </w:t>
      </w:r>
      <w:r w:rsidR="00DE0247">
        <w:t>happen</w:t>
      </w:r>
      <w:r w:rsidR="008F49F9">
        <w:t>ing</w:t>
      </w:r>
      <w:r w:rsidR="00DE0247">
        <w:t xml:space="preserve"> instantaneously. The distinction between the HMR and the H</w:t>
      </w:r>
      <w:r w:rsidR="00283CE7">
        <w:t>L</w:t>
      </w:r>
      <w:r w:rsidR="00DE0247">
        <w:t xml:space="preserve">R can be used to capture the relative “stickiness” of factor proportions. </w:t>
      </w:r>
      <w:r w:rsidR="00556289">
        <w:t>Of course, people may differ about how much calendar time corresponds to these “runs.”</w:t>
      </w:r>
    </w:p>
    <w:p w:rsidR="006B3DED" w:rsidRDefault="006B3DED" w:rsidP="00FB4485">
      <w:pPr>
        <w:pStyle w:val="H3"/>
      </w:pPr>
      <w:r>
        <w:t>Limits.</w:t>
      </w:r>
      <w:r w:rsidR="00B71607" w:rsidRPr="00B71607">
        <w:t xml:space="preserve"> </w:t>
      </w:r>
    </w:p>
    <w:p w:rsidR="006B3DED" w:rsidRPr="00C53E74" w:rsidRDefault="006B3DED" w:rsidP="006B3DED">
      <w:pPr>
        <w:spacing w:line="240" w:lineRule="auto"/>
      </w:pPr>
      <w:r>
        <w:t>One</w:t>
      </w:r>
      <w:r w:rsidR="00B71607" w:rsidRPr="00B71607">
        <w:t xml:space="preserve"> </w:t>
      </w:r>
      <w:r>
        <w:t>problem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discussion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his</w:t>
      </w:r>
      <w:r w:rsidR="00B71607" w:rsidRPr="00B71607">
        <w:t xml:space="preserve"> </w:t>
      </w:r>
      <w:r>
        <w:t>over-stress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role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saving.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made</w:t>
      </w:r>
      <w:r w:rsidR="00B71607" w:rsidRPr="00B71607">
        <w:t xml:space="preserve"> </w:t>
      </w:r>
      <w:r>
        <w:t>it</w:t>
      </w:r>
      <w:r w:rsidR="00B71607" w:rsidRPr="00B71607">
        <w:t xml:space="preserve"> </w:t>
      </w:r>
      <w:r>
        <w:t>easy</w:t>
      </w:r>
      <w:r w:rsidR="00B71607" w:rsidRPr="00B71607">
        <w:t xml:space="preserve"> </w:t>
      </w:r>
      <w:r>
        <w:t>for</w:t>
      </w:r>
      <w:r w:rsidR="00B71607" w:rsidRPr="00B71607">
        <w:t xml:space="preserve"> </w:t>
      </w:r>
      <w:r>
        <w:t>some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conclude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he</w:t>
      </w:r>
      <w:r w:rsidR="00B71607" w:rsidRPr="00B71607">
        <w:t xml:space="preserve"> </w:t>
      </w:r>
      <w:r>
        <w:t>saw</w:t>
      </w:r>
      <w:r w:rsidR="00B71607" w:rsidRPr="00B71607">
        <w:t xml:space="preserve"> </w:t>
      </w:r>
      <w:r w:rsidRPr="00AB5670">
        <w:rPr>
          <w:b/>
        </w:rPr>
        <w:t>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causing</w:t>
      </w:r>
      <w:r w:rsidR="00B71607" w:rsidRPr="00B71607">
        <w:t xml:space="preserve"> </w:t>
      </w:r>
      <w:r w:rsidRPr="00AB5670">
        <w:rPr>
          <w:b/>
        </w:rPr>
        <w:t>I</w:t>
      </w:r>
      <w:r>
        <w:t>,</w:t>
      </w:r>
      <w:r w:rsidR="00B71607" w:rsidRPr="00B71607">
        <w:t xml:space="preserve"> </w:t>
      </w:r>
      <w:r>
        <w:t>just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models.</w:t>
      </w:r>
      <w:r w:rsidR="00B71607" w:rsidRPr="00B71607">
        <w:t xml:space="preserve"> </w:t>
      </w:r>
      <w:r w:rsidR="00D14F7D">
        <w:t>Following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tradition,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 w:rsidR="00070F6A">
        <w:t>emphasize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independent</w:t>
      </w:r>
      <w:r w:rsidR="00B71607" w:rsidRPr="00B71607">
        <w:t xml:space="preserve"> </w:t>
      </w:r>
      <w:r>
        <w:t>role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latter</w:t>
      </w:r>
      <w:r w:rsidR="00B71607" w:rsidRPr="00B71607">
        <w:t xml:space="preserve"> </w:t>
      </w:r>
      <w:r>
        <w:t>(cf.</w:t>
      </w:r>
      <w:r w:rsidR="00B71607" w:rsidRPr="00B71607">
        <w:t xml:space="preserve"> </w:t>
      </w:r>
      <w:r>
        <w:t>Sen,</w:t>
      </w:r>
      <w:r w:rsidR="00B71607" w:rsidRPr="00B71607">
        <w:t xml:space="preserve"> </w:t>
      </w:r>
      <w:r>
        <w:t>1970).</w:t>
      </w:r>
      <w:r w:rsidR="00B71607" w:rsidRPr="00B71607">
        <w:t xml:space="preserve"> </w:t>
      </w:r>
      <w:r w:rsidR="00D14F7D">
        <w:t>As</w:t>
      </w:r>
      <w:r w:rsidR="00B71607" w:rsidRPr="00B71607">
        <w:t xml:space="preserve"> </w:t>
      </w:r>
      <w:r>
        <w:t>Keynes’</w:t>
      </w:r>
      <w:r w:rsidR="00B71607" w:rsidRPr="00B71607">
        <w:t xml:space="preserve"> </w:t>
      </w:r>
      <w:r>
        <w:t>(1936:</w:t>
      </w:r>
      <w:r w:rsidR="00B71607" w:rsidRPr="00B71607">
        <w:t xml:space="preserve"> </w:t>
      </w:r>
      <w:r>
        <w:t>ch.16)</w:t>
      </w:r>
      <w:r w:rsidR="00B71607" w:rsidRPr="00B71607">
        <w:t xml:space="preserve"> </w:t>
      </w:r>
      <w:r w:rsidR="00D14F7D">
        <w:t xml:space="preserve">argued, </w:t>
      </w:r>
      <w:r w:rsidRPr="00AB5670">
        <w:rPr>
          <w:b/>
        </w:rPr>
        <w:t>S</w:t>
      </w:r>
      <w:r w:rsidR="00B71607" w:rsidRPr="00B71607">
        <w:t xml:space="preserve"> </w:t>
      </w:r>
      <w:r>
        <w:t>does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automatically</w:t>
      </w:r>
      <w:r w:rsidR="00B71607" w:rsidRPr="00B71607">
        <w:t xml:space="preserve"> </w:t>
      </w:r>
      <w:r>
        <w:t>drive</w:t>
      </w:r>
      <w:r w:rsidR="00B71607" w:rsidRPr="00B71607">
        <w:t xml:space="preserve"> </w:t>
      </w:r>
      <w:r w:rsidRPr="00AB5670">
        <w:rPr>
          <w:b/>
        </w:rPr>
        <w:t>I</w:t>
      </w:r>
      <w:r>
        <w:t>.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non-barter</w:t>
      </w:r>
      <w:r w:rsidR="00B71607" w:rsidRPr="00B71607">
        <w:t xml:space="preserve"> </w:t>
      </w:r>
      <w:r>
        <w:t>economy,</w:t>
      </w:r>
      <w:r w:rsidR="00B71607" w:rsidRPr="00B71607">
        <w:t xml:space="preserve"> </w:t>
      </w:r>
      <w:r>
        <w:t>saving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nothing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accumulation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new</w:t>
      </w:r>
      <w:r w:rsidR="00B71607" w:rsidRPr="00B71607">
        <w:t xml:space="preserve"> </w:t>
      </w:r>
      <w:r>
        <w:t>paper</w:t>
      </w:r>
      <w:r w:rsidR="00B71607" w:rsidRPr="00B71607">
        <w:t xml:space="preserve"> </w:t>
      </w:r>
      <w:r>
        <w:t>promises</w:t>
      </w:r>
      <w:r w:rsidR="00B71607" w:rsidRPr="00B71607">
        <w:t xml:space="preserve"> </w:t>
      </w:r>
      <w:r>
        <w:t>(securities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money).</w:t>
      </w:r>
      <w:r>
        <w:rPr>
          <w:rStyle w:val="EndnoteReference"/>
        </w:rPr>
        <w:endnoteReference w:id="12"/>
      </w:r>
      <w:r w:rsidR="00B71607" w:rsidRPr="00B71607">
        <w:t xml:space="preserve"> </w:t>
      </w:r>
      <w:r>
        <w:t>The</w:t>
      </w:r>
      <w:r w:rsidR="00D14F7D">
        <w:t>n, the</w:t>
      </w:r>
      <w:r w:rsidR="00B71607" w:rsidRPr="00B71607">
        <w:t xml:space="preserve"> </w:t>
      </w:r>
      <w:r>
        <w:t>real</w:t>
      </w:r>
      <w:r w:rsidR="00B71607" w:rsidRPr="00B71607">
        <w:t xml:space="preserve"> </w:t>
      </w:r>
      <w:r>
        <w:t>vo</w:t>
      </w:r>
      <w:r>
        <w:t>l</w:t>
      </w:r>
      <w:r>
        <w:t>ume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saving</w:t>
      </w:r>
      <w:r w:rsidR="00B71607" w:rsidRPr="00B71607">
        <w:t xml:space="preserve"> </w:t>
      </w:r>
      <w:r w:rsidRPr="00D51A46">
        <w:rPr>
          <w:i/>
        </w:rPr>
        <w:t>limits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flow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funds</w:t>
      </w:r>
      <w:r w:rsidR="00B71607" w:rsidRPr="00B71607">
        <w:t xml:space="preserve"> </w:t>
      </w:r>
      <w:r>
        <w:t>allowing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occur</w:t>
      </w:r>
      <w:r w:rsidR="00B71607" w:rsidRPr="00B71607">
        <w:t xml:space="preserve"> </w:t>
      </w:r>
      <w:r>
        <w:t>if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only</w:t>
      </w:r>
      <w:r w:rsidR="00B71607" w:rsidRPr="00B71607">
        <w:t xml:space="preserve"> </w:t>
      </w:r>
      <w:r>
        <w:t>if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level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rPr>
          <w:b/>
        </w:rPr>
        <w:t>Y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given.</w:t>
      </w:r>
      <w:r>
        <w:rPr>
          <w:rStyle w:val="EndnoteReference"/>
        </w:rPr>
        <w:endnoteReference w:id="13"/>
      </w:r>
      <w:r w:rsidR="00B71607" w:rsidRPr="00B71607">
        <w:t xml:space="preserve"> </w:t>
      </w:r>
    </w:p>
    <w:p w:rsidR="006B3DED" w:rsidRDefault="006B3DED" w:rsidP="006B3DED">
      <w:pPr>
        <w:spacing w:line="240" w:lineRule="auto"/>
        <w:rPr>
          <w:rFonts w:eastAsiaTheme="minorEastAsia"/>
        </w:rPr>
      </w:pPr>
      <w:r>
        <w:t>Next,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emphasize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role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capacity</w:t>
      </w:r>
      <w:r w:rsidR="00B71607" w:rsidRPr="00B71607">
        <w:t xml:space="preserve"> </w:t>
      </w:r>
      <w:r>
        <w:t>utilization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(</w:t>
      </w:r>
      <w:r>
        <w:rPr>
          <w:b/>
          <w:i/>
        </w:rPr>
        <w:t>y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rPr>
          <w:b/>
        </w:rPr>
        <w:t>Y</w:t>
      </w:r>
      <w:r>
        <w:t>/</w:t>
      </w:r>
      <w:r w:rsidRPr="00AB5670">
        <w:rPr>
          <w:b/>
        </w:rPr>
        <w:t>Z</w:t>
      </w:r>
      <w:r>
        <w:t>),</w:t>
      </w:r>
      <w:r w:rsidR="00B71607" w:rsidRPr="00B71607">
        <w:rPr>
          <w:rFonts w:cs="Times New Roman"/>
          <w:szCs w:val="24"/>
        </w:rPr>
        <w:t xml:space="preserve"> </w:t>
      </w:r>
      <w:r>
        <w:t>which</w:t>
      </w:r>
      <w:r w:rsidR="00B71607" w:rsidRPr="00B71607">
        <w:t xml:space="preserve"> </w:t>
      </w:r>
      <w:r w:rsidRPr="00D4213A">
        <w:rPr>
          <w:noProof/>
        </w:rPr>
        <w:t>Harrod</w:t>
      </w:r>
      <w:r w:rsidR="00B71607" w:rsidRPr="00B71607">
        <w:t xml:space="preserve"> </w:t>
      </w:r>
      <w:r>
        <w:t>almost</w:t>
      </w:r>
      <w:r w:rsidR="00B71607" w:rsidRPr="00B71607">
        <w:t xml:space="preserve"> </w:t>
      </w:r>
      <w:r>
        <w:t>always</w:t>
      </w:r>
      <w:r w:rsidR="00B71607" w:rsidRPr="00B71607">
        <w:t xml:space="preserve"> </w:t>
      </w:r>
      <w:r>
        <w:t>left</w:t>
      </w:r>
      <w:r w:rsidR="00B71607" w:rsidRPr="00B71607">
        <w:t xml:space="preserve"> </w:t>
      </w:r>
      <w:r>
        <w:t>backstage</w:t>
      </w:r>
      <w:r w:rsidR="00B71607" w:rsidRPr="00B71607">
        <w:t xml:space="preserve"> </w:t>
      </w:r>
      <w:r>
        <w:t>(unlike</w:t>
      </w:r>
      <w:r w:rsidR="00B71607" w:rsidRPr="00B71607">
        <w:t xml:space="preserve"> </w:t>
      </w:r>
      <w:r>
        <w:t>Domar,</w:t>
      </w:r>
      <w:r w:rsidR="00B71607" w:rsidRPr="00B71607">
        <w:t xml:space="preserve"> </w:t>
      </w:r>
      <w:r>
        <w:t>1946).</w:t>
      </w:r>
      <w:r w:rsidR="00A51786">
        <w:t xml:space="preserve"> Unlike in much of the literature</w:t>
      </w:r>
      <w:r>
        <w:t>,</w:t>
      </w:r>
      <w:r w:rsidR="00B71607" w:rsidRPr="00B71607">
        <w:t xml:space="preserve"> </w:t>
      </w:r>
      <w:r>
        <w:t>f</w:t>
      </w:r>
      <w:r>
        <w:rPr>
          <w:color w:val="000000"/>
        </w:rPr>
        <w:t>ull-capacity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output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(where</w:t>
      </w:r>
      <w:r w:rsidR="00B71607" w:rsidRPr="00B71607">
        <w:rPr>
          <w:color w:val="000000"/>
        </w:rPr>
        <w:t xml:space="preserve"> </w:t>
      </w:r>
      <w:r>
        <w:rPr>
          <w:b/>
          <w:i/>
          <w:color w:val="000000"/>
        </w:rPr>
        <w:t>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=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1)</w:t>
      </w:r>
      <w:r w:rsidR="00B71607" w:rsidRPr="00B71607">
        <w:rPr>
          <w:color w:val="000000"/>
        </w:rPr>
        <w:t xml:space="preserve"> </w:t>
      </w:r>
      <w:r w:rsidR="00A51786">
        <w:rPr>
          <w:color w:val="000000"/>
        </w:rPr>
        <w:t xml:space="preserve">should </w:t>
      </w:r>
      <w:r>
        <w:rPr>
          <w:color w:val="000000"/>
        </w:rPr>
        <w:t>not</w:t>
      </w:r>
      <w:r w:rsidR="00B71607" w:rsidRPr="00B71607">
        <w:rPr>
          <w:color w:val="000000"/>
        </w:rPr>
        <w:t xml:space="preserve"> </w:t>
      </w:r>
      <w:r w:rsidR="00A51786">
        <w:rPr>
          <w:color w:val="000000"/>
        </w:rPr>
        <w:t xml:space="preserve">be seen as </w:t>
      </w:r>
      <w:r>
        <w:rPr>
          <w:color w:val="000000"/>
        </w:rPr>
        <w:t>an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absolute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limit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output.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Instead,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it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corr</w:t>
      </w:r>
      <w:r>
        <w:rPr>
          <w:color w:val="000000"/>
        </w:rPr>
        <w:t>e</w:t>
      </w:r>
      <w:r>
        <w:rPr>
          <w:color w:val="000000"/>
        </w:rPr>
        <w:t>sponds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to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output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level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where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average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total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production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costs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are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minimized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(absent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demand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constraints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production).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In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an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economy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producing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only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services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and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manufa</w:t>
      </w:r>
      <w:r>
        <w:rPr>
          <w:color w:val="000000"/>
        </w:rPr>
        <w:t>c</w:t>
      </w:r>
      <w:r>
        <w:rPr>
          <w:color w:val="000000"/>
        </w:rPr>
        <w:t>tured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goods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(i.e.,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no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primary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products),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as</w:t>
      </w:r>
      <w:r w:rsidR="00B71607" w:rsidRPr="00B71607">
        <w:rPr>
          <w:color w:val="000000"/>
        </w:rPr>
        <w:t xml:space="preserve"> </w:t>
      </w:r>
      <w:r>
        <w:rPr>
          <w:b/>
          <w:i/>
          <w:color w:val="000000"/>
        </w:rPr>
        <w:t>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rises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up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to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unity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during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KSR,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both</w:t>
      </w:r>
      <w:r w:rsidR="00B71607" w:rsidRPr="00B71607">
        <w:rPr>
          <w:color w:val="000000"/>
        </w:rPr>
        <w:t xml:space="preserve"> </w:t>
      </w:r>
      <w:r>
        <w:rPr>
          <w:color w:val="000000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ave</w:t>
      </w:r>
      <w:r>
        <w:rPr>
          <w:rFonts w:eastAsiaTheme="minorEastAsia"/>
        </w:rPr>
        <w:t>r</w:t>
      </w:r>
      <w:r>
        <w:rPr>
          <w:rFonts w:eastAsiaTheme="minorEastAsia"/>
        </w:rPr>
        <w:t>age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variable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and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marginal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cost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curves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are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horizontal.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Then,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for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  <w:b/>
          <w:i/>
        </w:rPr>
        <w:t>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≥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1,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both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rise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steeply.</w:t>
      </w:r>
      <w:r w:rsidRPr="00590252">
        <w:rPr>
          <w:rStyle w:val="EndnoteReference"/>
          <w:smallCaps/>
          <w:color w:val="000000"/>
        </w:rPr>
        <w:endnoteReference w:id="14"/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This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flatness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occurs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due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to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fact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that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employment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labor-power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rises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in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step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with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utilization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rate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fixed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capital</w:t>
      </w:r>
      <w:r w:rsidR="00B07C76">
        <w:rPr>
          <w:rFonts w:eastAsiaTheme="minorEastAsia"/>
        </w:rPr>
        <w:t xml:space="preserve">: </w:t>
      </w:r>
      <w:r>
        <w:rPr>
          <w:rFonts w:eastAsiaTheme="minorEastAsia"/>
        </w:rPr>
        <w:t>diminishing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returns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to</w:t>
      </w:r>
      <w:r w:rsidR="00B71607" w:rsidRPr="00B71607">
        <w:rPr>
          <w:rFonts w:eastAsiaTheme="minorEastAsia"/>
        </w:rPr>
        <w:t xml:space="preserve"> </w:t>
      </w:r>
      <w:r w:rsidR="00A856C9">
        <w:rPr>
          <w:rFonts w:eastAsiaTheme="minorEastAsia"/>
        </w:rPr>
        <w:t xml:space="preserve">labor’s </w:t>
      </w:r>
      <w:r>
        <w:rPr>
          <w:rFonts w:eastAsiaTheme="minorEastAsia"/>
        </w:rPr>
        <w:t>use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  <w:b/>
        </w:rPr>
        <w:t>K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do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not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occur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until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  <w:b/>
          <w:i/>
        </w:rPr>
        <w:t>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≥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1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>
        <w:rPr>
          <w:rFonts w:eastAsiaTheme="minorEastAsia"/>
          <w:noProof/>
        </w:rPr>
        <w:t>Kalecki</w:t>
      </w:r>
      <w:r>
        <w:rPr>
          <w:rFonts w:eastAsiaTheme="minorEastAsia"/>
        </w:rPr>
        <w:t>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1943).</w:t>
      </w:r>
      <w:r w:rsidR="00B71607" w:rsidRPr="00B71607">
        <w:rPr>
          <w:rFonts w:eastAsiaTheme="minorEastAsia"/>
        </w:rPr>
        <w:t xml:space="preserve"> </w:t>
      </w:r>
      <w:r w:rsidR="00B07C76">
        <w:rPr>
          <w:rFonts w:eastAsiaTheme="minorEastAsia"/>
        </w:rPr>
        <w:t>Thus,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inflation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becomes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increasingly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more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likely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to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replace</w:t>
      </w:r>
      <w:r w:rsidR="00B71607" w:rsidRPr="00B71607">
        <w:rPr>
          <w:rFonts w:eastAsiaTheme="minorEastAsia"/>
        </w:rPr>
        <w:t xml:space="preserve"> </w:t>
      </w:r>
      <w:r w:rsidR="00B07C76">
        <w:rPr>
          <w:rFonts w:eastAsiaTheme="minorEastAsia"/>
        </w:rPr>
        <w:t xml:space="preserve">real </w:t>
      </w:r>
      <w:r>
        <w:rPr>
          <w:rFonts w:eastAsiaTheme="minorEastAsia"/>
        </w:rPr>
        <w:t>i</w:t>
      </w:r>
      <w:r>
        <w:rPr>
          <w:rFonts w:eastAsiaTheme="minorEastAsia"/>
        </w:rPr>
        <w:t>n</w:t>
      </w:r>
      <w:r>
        <w:rPr>
          <w:rFonts w:eastAsiaTheme="minorEastAsia"/>
        </w:rPr>
        <w:t>creases.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This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result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reinforced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price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behavior</w:t>
      </w:r>
      <w:r w:rsidR="00B71607" w:rsidRPr="00B71607">
        <w:rPr>
          <w:rFonts w:eastAsiaTheme="minorEastAsia"/>
        </w:rPr>
        <w:t xml:space="preserve"> </w:t>
      </w:r>
      <w:r w:rsidR="00B07C76">
        <w:rPr>
          <w:rFonts w:eastAsiaTheme="minorEastAsia"/>
        </w:rPr>
        <w:t xml:space="preserve">in </w:t>
      </w:r>
      <w:r>
        <w:rPr>
          <w:rFonts w:eastAsiaTheme="minorEastAsia"/>
        </w:rPr>
        <w:t>primary-product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sectors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(which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su</w:t>
      </w:r>
      <w:r>
        <w:rPr>
          <w:rFonts w:eastAsiaTheme="minorEastAsia"/>
        </w:rPr>
        <w:t>f</w:t>
      </w:r>
      <w:r>
        <w:rPr>
          <w:rFonts w:eastAsiaTheme="minorEastAsia"/>
        </w:rPr>
        <w:t>fer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from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diminishing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marginal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returns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due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to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limits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imposed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Nature).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However,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>n</w:t>
      </w:r>
      <w:r>
        <w:rPr>
          <w:rFonts w:eastAsiaTheme="minorEastAsia"/>
        </w:rPr>
        <w:t>flation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moderated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to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extent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that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businesses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maintain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unused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capacity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for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flexibility.</w:t>
      </w:r>
      <w:r w:rsidR="00B71607" w:rsidRPr="00B71607">
        <w:rPr>
          <w:rFonts w:eastAsiaTheme="minorEastAsia"/>
        </w:rPr>
        <w:t xml:space="preserve"> </w:t>
      </w:r>
    </w:p>
    <w:p w:rsidR="006B3DED" w:rsidRDefault="006B3DED" w:rsidP="006B3DED">
      <w:pPr>
        <w:spacing w:line="240" w:lineRule="auto"/>
      </w:pPr>
      <w:r>
        <w:rPr>
          <w:rFonts w:eastAsiaTheme="minorEastAsia"/>
        </w:rPr>
        <w:t>Further,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though</w:t>
      </w:r>
      <w:r w:rsidR="00B71607" w:rsidRPr="00B71607">
        <w:rPr>
          <w:rFonts w:eastAsiaTheme="minorEastAsia"/>
        </w:rPr>
        <w:t xml:space="preserve"> </w:t>
      </w:r>
      <w:r>
        <w:rPr>
          <w:b/>
          <w:i/>
        </w:rPr>
        <w:t>y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t>1</w:t>
      </w:r>
      <w:r w:rsidR="00B71607" w:rsidRPr="00B71607">
        <w:t xml:space="preserve"> </w:t>
      </w:r>
      <w:r>
        <w:t>has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lowest</w:t>
      </w:r>
      <w:r w:rsidR="00B71607" w:rsidRPr="00B71607">
        <w:t xml:space="preserve"> </w:t>
      </w:r>
      <w:r>
        <w:t>average</w:t>
      </w:r>
      <w:r w:rsidR="00B71607" w:rsidRPr="00B71607">
        <w:t xml:space="preserve"> </w:t>
      </w:r>
      <w:r w:rsidR="001F0FC8">
        <w:t>total</w:t>
      </w:r>
      <w:r w:rsidR="00B71607" w:rsidRPr="00B71607">
        <w:t xml:space="preserve"> </w:t>
      </w:r>
      <w:r>
        <w:t>costs,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always</w:t>
      </w:r>
      <w:r w:rsidR="00B71607" w:rsidRPr="00B71607">
        <w:t xml:space="preserve"> </w:t>
      </w:r>
      <w:r>
        <w:t>achieved:</w:t>
      </w:r>
      <w:r w:rsidR="00B71607" w:rsidRPr="00B71607">
        <w:t xml:space="preserve"> </w:t>
      </w:r>
      <w:r w:rsidRPr="00865CCB">
        <w:rPr>
          <w:b/>
        </w:rPr>
        <w:t>D</w:t>
      </w:r>
      <w:r w:rsidR="00B71607" w:rsidRPr="00B71607">
        <w:t xml:space="preserve"> </w:t>
      </w:r>
      <w:r>
        <w:t>imposes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quantity</w:t>
      </w:r>
      <w:r w:rsidR="00B71607" w:rsidRPr="00B71607">
        <w:t xml:space="preserve"> </w:t>
      </w:r>
      <w:r>
        <w:t>constraint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rPr>
          <w:b/>
        </w:rPr>
        <w:t>Y</w:t>
      </w:r>
      <w:r>
        <w:t>.</w:t>
      </w:r>
      <w:r w:rsidR="00B71607" w:rsidRPr="00B71607">
        <w:t xml:space="preserve"> </w:t>
      </w:r>
      <w:r>
        <w:t>For</w:t>
      </w:r>
      <w:r w:rsidR="00B71607" w:rsidRPr="00B71607">
        <w:t xml:space="preserve"> </w:t>
      </w:r>
      <w:r>
        <w:t>given</w:t>
      </w:r>
      <w:r w:rsidR="00B71607" w:rsidRPr="00B71607">
        <w:t xml:space="preserve"> </w:t>
      </w:r>
      <w:r>
        <w:rPr>
          <w:b/>
        </w:rPr>
        <w:t>Z</w:t>
      </w:r>
      <w:r>
        <w:t>,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determines</w:t>
      </w:r>
      <w:r w:rsidR="00B71607" w:rsidRPr="00B71607">
        <w:t xml:space="preserve"> </w:t>
      </w:r>
      <w:r>
        <w:rPr>
          <w:b/>
          <w:i/>
        </w:rPr>
        <w:t>y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KC</w:t>
      </w:r>
      <w:r w:rsidR="00B71607" w:rsidRPr="00B71607">
        <w:t xml:space="preserve"> </w:t>
      </w:r>
      <w:r>
        <w:t>equilibrium.</w:t>
      </w:r>
      <w:r w:rsidR="00B71607" w:rsidRPr="00B71607">
        <w:t xml:space="preserve"> </w:t>
      </w:r>
      <w:r>
        <w:t>D</w:t>
      </w:r>
      <w:r>
        <w:t>e</w:t>
      </w:r>
      <w:r>
        <w:t>mand</w:t>
      </w:r>
      <w:r w:rsidR="00B71607" w:rsidRPr="00B71607">
        <w:t xml:space="preserve"> </w:t>
      </w:r>
      <w:r>
        <w:t>also</w:t>
      </w:r>
      <w:r w:rsidR="00B71607" w:rsidRPr="00B71607">
        <w:t xml:space="preserve"> </w:t>
      </w:r>
      <w:r>
        <w:t>constrains</w:t>
      </w:r>
      <w:r w:rsidR="00B71607" w:rsidRPr="00B71607">
        <w:t xml:space="preserve"> </w:t>
      </w:r>
      <w:r>
        <w:t>labor-power</w:t>
      </w:r>
      <w:r w:rsidR="00B71607" w:rsidRPr="00B71607">
        <w:t xml:space="preserve"> </w:t>
      </w:r>
      <w:r>
        <w:t>markets,</w:t>
      </w:r>
      <w:r w:rsidR="00B71607" w:rsidRPr="00B71607">
        <w:t xml:space="preserve"> </w:t>
      </w:r>
      <w:r>
        <w:t>determining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employment</w:t>
      </w:r>
      <w:r w:rsidR="00B71607" w:rsidRPr="00B71607">
        <w:t xml:space="preserve"> </w:t>
      </w:r>
      <w:r>
        <w:t>ratio</w:t>
      </w:r>
      <w:r w:rsidR="00B71607" w:rsidRPr="00B71607">
        <w:t xml:space="preserve"> </w:t>
      </w:r>
      <w:r>
        <w:t>(</w:t>
      </w:r>
      <w:r>
        <w:rPr>
          <w:b/>
          <w:i/>
        </w:rPr>
        <w:t>e</w:t>
      </w:r>
      <w:r>
        <w:t>).</w:t>
      </w:r>
    </w:p>
    <w:p w:rsidR="006B3DED" w:rsidRDefault="006B3DED" w:rsidP="006B3DED">
      <w:pPr>
        <w:spacing w:line="240" w:lineRule="auto"/>
      </w:pPr>
      <w:r>
        <w:rPr>
          <w:noProof/>
        </w:rPr>
        <w:t>Finally,</w:t>
      </w:r>
      <w:r w:rsidR="00B71607" w:rsidRPr="00B71607">
        <w:rPr>
          <w:noProof/>
        </w:rPr>
        <w:t xml:space="preserve"> </w:t>
      </w:r>
      <w:r>
        <w:rPr>
          <w:noProof/>
        </w:rPr>
        <w:t>to</w:t>
      </w:r>
      <w:r w:rsidR="00B71607" w:rsidRPr="00B71607">
        <w:rPr>
          <w:noProof/>
        </w:rPr>
        <w:t xml:space="preserve"> </w:t>
      </w:r>
      <w:r w:rsidRPr="00D4213A">
        <w:rPr>
          <w:noProof/>
        </w:rPr>
        <w:t>Harrod</w:t>
      </w:r>
      <w:r w:rsidRPr="009345B3">
        <w:t>,</w:t>
      </w:r>
      <w:r w:rsidR="00B71607" w:rsidRPr="00B71607">
        <w:t xml:space="preserve"> </w:t>
      </w:r>
      <w:r>
        <w:rPr>
          <w:b/>
          <w:i/>
        </w:rPr>
        <w:t>c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ratio</w:t>
      </w:r>
      <w:r w:rsidR="00B71607" w:rsidRPr="00B71607">
        <w:t xml:space="preserve"> </w:t>
      </w:r>
      <w:r>
        <w:t>between</w:t>
      </w:r>
      <w:r w:rsidR="00B71607" w:rsidRPr="00B71607">
        <w:t xml:space="preserve"> </w:t>
      </w:r>
      <w:r>
        <w:t>two</w:t>
      </w:r>
      <w:r w:rsidR="00B71607" w:rsidRPr="00B71607">
        <w:t xml:space="preserve"> </w:t>
      </w:r>
      <w:r>
        <w:t>nominal</w:t>
      </w:r>
      <w:r w:rsidR="00B71607" w:rsidRPr="00B71607">
        <w:t xml:space="preserve"> </w:t>
      </w:r>
      <w:r>
        <w:t>magnitudes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thus</w:t>
      </w:r>
      <w:r w:rsidR="00B71607" w:rsidRPr="00B71607">
        <w:t xml:space="preserve"> </w:t>
      </w:r>
      <w:r w:rsidRPr="009345B3">
        <w:t>var</w:t>
      </w:r>
      <w:r w:rsidR="00082BE0">
        <w:t>ies</w:t>
      </w:r>
      <w:r w:rsidR="00B71607" w:rsidRPr="00B71607">
        <w:t xml:space="preserve"> </w:t>
      </w:r>
      <w:r w:rsidRPr="009345B3">
        <w:t>with</w:t>
      </w:r>
      <w:r w:rsidR="00B71607" w:rsidRPr="00B71607">
        <w:t xml:space="preserve"> </w:t>
      </w:r>
      <w:r w:rsidRPr="009345B3">
        <w:t>the</w:t>
      </w:r>
      <w:r w:rsidR="00B71607" w:rsidRPr="00B71607">
        <w:t xml:space="preserve"> </w:t>
      </w:r>
      <w:r w:rsidRPr="009345B3">
        <w:t>relative</w:t>
      </w:r>
      <w:r w:rsidR="00B71607" w:rsidRPr="00B71607">
        <w:t xml:space="preserve"> </w:t>
      </w:r>
      <w:r w:rsidRPr="009345B3">
        <w:t>price</w:t>
      </w:r>
      <w:r w:rsidR="00B71607" w:rsidRPr="00B71607">
        <w:t xml:space="preserve"> </w:t>
      </w:r>
      <w:r w:rsidRPr="009345B3">
        <w:t>of</w:t>
      </w:r>
      <w:r w:rsidR="00B71607" w:rsidRPr="00B71607">
        <w:t xml:space="preserve"> </w:t>
      </w:r>
      <w:r w:rsidRPr="009345B3">
        <w:t>capital</w:t>
      </w:r>
      <w:r w:rsidR="00B71607" w:rsidRPr="00B71607">
        <w:t xml:space="preserve"> </w:t>
      </w:r>
      <w:r>
        <w:t>goods.</w:t>
      </w:r>
      <w:r w:rsidR="00B71607" w:rsidRPr="00B71607">
        <w:t xml:space="preserve"> </w:t>
      </w:r>
      <w:r>
        <w:t>Bu</w:t>
      </w:r>
      <w:r w:rsidRPr="009345B3">
        <w:t>t</w:t>
      </w:r>
      <w:r w:rsidR="00B71607" w:rsidRPr="00B71607">
        <w:t xml:space="preserve"> </w:t>
      </w:r>
      <w:r w:rsidRPr="009345B3">
        <w:t>that</w:t>
      </w:r>
      <w:r w:rsidR="00B71607" w:rsidRPr="00B71607">
        <w:t xml:space="preserve"> </w:t>
      </w:r>
      <w:r w:rsidRPr="009345B3">
        <w:t>possibility</w:t>
      </w:r>
      <w:r w:rsidR="00B71607" w:rsidRPr="00B71607">
        <w:t xml:space="preserve"> </w:t>
      </w:r>
      <w:r w:rsidRPr="009345B3">
        <w:t>is</w:t>
      </w:r>
      <w:r w:rsidR="00B71607" w:rsidRPr="00B71607">
        <w:t xml:space="preserve"> </w:t>
      </w:r>
      <w:r w:rsidRPr="009345B3">
        <w:t>ignored</w:t>
      </w:r>
      <w:r w:rsidR="00B71607" w:rsidRPr="00B71607">
        <w:t xml:space="preserve"> </w:t>
      </w:r>
      <w:r w:rsidRPr="009345B3">
        <w:t>here.</w:t>
      </w:r>
      <w:r w:rsidR="00B71607" w:rsidRPr="00B71607">
        <w:t xml:space="preserve"> </w:t>
      </w:r>
      <w:r w:rsidRPr="009345B3">
        <w:t>I</w:t>
      </w:r>
      <w:r w:rsidR="00B71607" w:rsidRPr="00B71607">
        <w:t xml:space="preserve"> </w:t>
      </w:r>
      <w:r w:rsidRPr="009345B3">
        <w:t>follow</w:t>
      </w:r>
      <w:r w:rsidR="00B71607" w:rsidRPr="00B71607">
        <w:t xml:space="preserve"> </w:t>
      </w:r>
      <w:r w:rsidRPr="009345B3">
        <w:t>the</w:t>
      </w:r>
      <w:r w:rsidR="00B71607" w:rsidRPr="00B71607">
        <w:t xml:space="preserve"> </w:t>
      </w:r>
      <w:r>
        <w:t>long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 w:rsidRPr="009345B3">
        <w:t>tr</w:t>
      </w:r>
      <w:r w:rsidRPr="009345B3">
        <w:t>a</w:t>
      </w:r>
      <w:r w:rsidRPr="009345B3">
        <w:t>dition</w:t>
      </w:r>
      <w:r w:rsidR="00B71607" w:rsidRPr="00B71607">
        <w:t xml:space="preserve"> </w:t>
      </w:r>
      <w:r>
        <w:t>(which</w:t>
      </w:r>
      <w:r w:rsidR="00B71607" w:rsidRPr="00B71607">
        <w:t xml:space="preserve"> </w:t>
      </w:r>
      <w:r>
        <w:t>seems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have</w:t>
      </w:r>
      <w:r w:rsidR="00B71607" w:rsidRPr="00B71607">
        <w:t xml:space="preserve"> </w:t>
      </w:r>
      <w:r>
        <w:t>been</w:t>
      </w:r>
      <w:r w:rsidR="00B71607" w:rsidRPr="00B71607">
        <w:t xml:space="preserve"> </w:t>
      </w:r>
      <w:r>
        <w:t>initiated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Solow)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 w:rsidRPr="009345B3">
        <w:t>totally</w:t>
      </w:r>
      <w:r w:rsidR="00B71607" w:rsidRPr="00B71607">
        <w:t xml:space="preserve"> </w:t>
      </w:r>
      <w:r w:rsidRPr="009345B3">
        <w:t>abstract</w:t>
      </w:r>
      <w:r>
        <w:t>ing</w:t>
      </w:r>
      <w:r w:rsidR="00B71607" w:rsidRPr="00B71607">
        <w:t xml:space="preserve"> </w:t>
      </w:r>
      <w:r w:rsidRPr="009345B3">
        <w:t>from</w:t>
      </w:r>
      <w:r w:rsidR="00B71607" w:rsidRPr="00B71607">
        <w:t xml:space="preserve"> </w:t>
      </w:r>
      <w:r w:rsidRPr="009345B3">
        <w:t>the</w:t>
      </w:r>
      <w:r w:rsidR="00B71607" w:rsidRPr="00B71607">
        <w:t xml:space="preserve"> </w:t>
      </w:r>
      <w:r w:rsidRPr="009345B3">
        <w:t>real-world</w:t>
      </w:r>
      <w:r w:rsidR="00B71607" w:rsidRPr="00B71607">
        <w:t xml:space="preserve"> </w:t>
      </w:r>
      <w:r w:rsidRPr="009345B3">
        <w:t>heterogeneity</w:t>
      </w:r>
      <w:r w:rsidR="00B71607" w:rsidRPr="00B71607">
        <w:t xml:space="preserve"> </w:t>
      </w:r>
      <w:r w:rsidRPr="009345B3">
        <w:t>of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 w:rsidRPr="009345B3">
        <w:t>goods</w:t>
      </w:r>
      <w:r>
        <w:t>.</w:t>
      </w:r>
      <w:r>
        <w:rPr>
          <w:rStyle w:val="EndnoteReference"/>
        </w:rPr>
        <w:endnoteReference w:id="15"/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is</w:t>
      </w:r>
      <w:r w:rsidRPr="009345B3">
        <w:t>,</w:t>
      </w:r>
      <w:r w:rsidR="00B71607" w:rsidRPr="00B71607">
        <w:t xml:space="preserve"> </w:t>
      </w:r>
      <w:r w:rsidRPr="009345B3">
        <w:t>in</w:t>
      </w:r>
      <w:r w:rsidR="00B71607" w:rsidRPr="00B71607">
        <w:t xml:space="preserve"> </w:t>
      </w:r>
      <w:r w:rsidRPr="009345B3">
        <w:t>the</w:t>
      </w:r>
      <w:r w:rsidR="00B71607" w:rsidRPr="00B71607">
        <w:t xml:space="preserve"> </w:t>
      </w:r>
      <w:r w:rsidRPr="009345B3">
        <w:t>“corn-corn”</w:t>
      </w:r>
      <w:r w:rsidR="00B71607" w:rsidRPr="00B71607">
        <w:t xml:space="preserve"> </w:t>
      </w:r>
      <w:r w:rsidRPr="009345B3">
        <w:t>model</w:t>
      </w:r>
      <w:r w:rsidR="00B71607" w:rsidRPr="00B71607">
        <w:t xml:space="preserve"> </w:t>
      </w:r>
      <w:r w:rsidRPr="009345B3">
        <w:t>presen</w:t>
      </w:r>
      <w:r w:rsidRPr="009345B3">
        <w:t>t</w:t>
      </w:r>
      <w:r w:rsidRPr="009345B3">
        <w:t>ed</w:t>
      </w:r>
      <w:r w:rsidR="00B71607" w:rsidRPr="00B71607">
        <w:t xml:space="preserve"> </w:t>
      </w:r>
      <w:r w:rsidRPr="009345B3">
        <w:t>below,</w:t>
      </w:r>
      <w:r w:rsidR="00B71607" w:rsidRPr="00B71607">
        <w:t xml:space="preserve"> </w:t>
      </w:r>
      <w:r w:rsidRPr="009345B3">
        <w:t>labor</w:t>
      </w:r>
      <w:r w:rsidR="00B71607" w:rsidRPr="00B71607">
        <w:t xml:space="preserve"> </w:t>
      </w:r>
      <w:r w:rsidRPr="009345B3">
        <w:t>uses</w:t>
      </w:r>
      <w:r w:rsidR="00B71607" w:rsidRPr="00B71607">
        <w:t xml:space="preserve"> </w:t>
      </w:r>
      <w:r w:rsidRPr="009345B3">
        <w:t>a</w:t>
      </w:r>
      <w:r w:rsidR="00B71607" w:rsidRPr="00B71607">
        <w:t xml:space="preserve"> </w:t>
      </w:r>
      <w:r w:rsidRPr="009345B3">
        <w:t>stock</w:t>
      </w:r>
      <w:r w:rsidR="00B71607" w:rsidRPr="00B71607">
        <w:t xml:space="preserve"> </w:t>
      </w:r>
      <w:r w:rsidRPr="009345B3">
        <w:t>of</w:t>
      </w:r>
      <w:r w:rsidR="00B71607" w:rsidRPr="00B71607">
        <w:t xml:space="preserve"> </w:t>
      </w:r>
      <w:r w:rsidRPr="009345B3">
        <w:t>inputs</w:t>
      </w:r>
      <w:r w:rsidR="00B71607" w:rsidRPr="00B71607">
        <w:t xml:space="preserve"> </w:t>
      </w:r>
      <w:r>
        <w:t>(</w:t>
      </w:r>
      <w:r>
        <w:rPr>
          <w:b/>
        </w:rPr>
        <w:t>K</w:t>
      </w:r>
      <w:r>
        <w:t>)</w:t>
      </w:r>
      <w:r w:rsidR="00B71607" w:rsidRPr="00B71607">
        <w:t xml:space="preserve"> </w:t>
      </w:r>
      <w:r w:rsidRPr="009345B3">
        <w:t>made</w:t>
      </w:r>
      <w:r w:rsidR="00B71607" w:rsidRPr="00B71607">
        <w:t xml:space="preserve"> </w:t>
      </w:r>
      <w:r w:rsidRPr="009345B3">
        <w:t>out</w:t>
      </w:r>
      <w:r w:rsidR="00B71607" w:rsidRPr="00B71607">
        <w:t xml:space="preserve"> </w:t>
      </w:r>
      <w:r w:rsidRPr="009345B3">
        <w:t>of</w:t>
      </w:r>
      <w:r w:rsidR="00B71607" w:rsidRPr="00B71607">
        <w:t xml:space="preserve"> </w:t>
      </w:r>
      <w:r w:rsidRPr="009345B3">
        <w:t>homogeneous</w:t>
      </w:r>
      <w:r w:rsidR="00B71607" w:rsidRPr="00B71607">
        <w:t xml:space="preserve"> </w:t>
      </w:r>
      <w:r w:rsidRPr="009345B3">
        <w:t>“corn”</w:t>
      </w:r>
      <w:r w:rsidR="00B71607" w:rsidRPr="00B71607">
        <w:t xml:space="preserve"> </w:t>
      </w:r>
      <w:r w:rsidRPr="009345B3">
        <w:t>to</w:t>
      </w:r>
      <w:r w:rsidR="00B71607" w:rsidRPr="00B71607">
        <w:t xml:space="preserve"> </w:t>
      </w:r>
      <w:r>
        <w:t>produce</w:t>
      </w:r>
      <w:r w:rsidR="00B71607" w:rsidRPr="00B71607">
        <w:t xml:space="preserve"> </w:t>
      </w:r>
      <w:r>
        <w:t>yet</w:t>
      </w:r>
      <w:r w:rsidR="00B71607" w:rsidRPr="00B71607">
        <w:t xml:space="preserve"> </w:t>
      </w:r>
      <w:r w:rsidRPr="009345B3">
        <w:t>more</w:t>
      </w:r>
      <w:r w:rsidR="00B71607" w:rsidRPr="00B71607">
        <w:t xml:space="preserve"> </w:t>
      </w:r>
      <w:r>
        <w:t>“corn”</w:t>
      </w:r>
      <w:r w:rsidR="00B71607" w:rsidRPr="00B71607">
        <w:t xml:space="preserve"> </w:t>
      </w:r>
      <w:r>
        <w:t>which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then</w:t>
      </w:r>
      <w:r w:rsidR="00B71607" w:rsidRPr="00B71607">
        <w:t xml:space="preserve"> </w:t>
      </w:r>
      <w:r>
        <w:t>consumed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invested.</w:t>
      </w:r>
      <w:r w:rsidR="00B71607" w:rsidRPr="00B71607">
        <w:t xml:space="preserve"> </w:t>
      </w:r>
      <w:r w:rsidRPr="009345B3">
        <w:t>In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 w:rsidRPr="009345B3">
        <w:t>terms,</w:t>
      </w:r>
      <w:r w:rsidR="00B71607" w:rsidRPr="00B71607">
        <w:t xml:space="preserve"> </w:t>
      </w:r>
      <w:r w:rsidRPr="009345B3">
        <w:t>production</w:t>
      </w:r>
      <w:r w:rsidR="00B71607" w:rsidRPr="00B71607">
        <w:t xml:space="preserve"> </w:t>
      </w:r>
      <w:r w:rsidRPr="009345B3">
        <w:t>is</w:t>
      </w:r>
      <w:r w:rsidR="00B71607" w:rsidRPr="00B71607">
        <w:t xml:space="preserve"> </w:t>
      </w:r>
      <w:r w:rsidRPr="009345B3">
        <w:t>done</w:t>
      </w:r>
      <w:r w:rsidR="00B71607" w:rsidRPr="00B71607">
        <w:t xml:space="preserve"> </w:t>
      </w:r>
      <w:r w:rsidRPr="009345B3">
        <w:t>by</w:t>
      </w:r>
      <w:r w:rsidR="00B71607" w:rsidRPr="00B71607">
        <w:t xml:space="preserve"> </w:t>
      </w:r>
      <w:r w:rsidRPr="009345B3">
        <w:t>a</w:t>
      </w:r>
      <w:r w:rsidR="00B71607" w:rsidRPr="00B71607">
        <w:t xml:space="preserve"> </w:t>
      </w:r>
      <w:r w:rsidRPr="009345B3">
        <w:t>“representative</w:t>
      </w:r>
      <w:r w:rsidR="00082BE0">
        <w:t xml:space="preserve"> firm</w:t>
      </w:r>
      <w:r w:rsidRPr="009345B3">
        <w:t>”</w:t>
      </w:r>
      <w:r w:rsidR="00B71607" w:rsidRPr="00B71607">
        <w:t xml:space="preserve"> </w:t>
      </w:r>
      <w:r w:rsidR="00082BE0">
        <w:t xml:space="preserve">(RF), </w:t>
      </w:r>
      <w:r w:rsidRPr="009345B3">
        <w:t>i.e.,</w:t>
      </w:r>
      <w:r w:rsidR="00B71607" w:rsidRPr="00B71607">
        <w:t xml:space="preserve"> </w:t>
      </w:r>
      <w:r w:rsidR="007B49F6">
        <w:t xml:space="preserve">a standard tool used in developing “microfoundations” that totally </w:t>
      </w:r>
      <w:r w:rsidRPr="009345B3">
        <w:t>ignor</w:t>
      </w:r>
      <w:r w:rsidR="007B49F6">
        <w:t>es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Pr="009345B3">
        <w:t>aggregation</w:t>
      </w:r>
      <w:r w:rsidR="00B71607" w:rsidRPr="00B71607">
        <w:t xml:space="preserve"> </w:t>
      </w:r>
      <w:r w:rsidRPr="009345B3">
        <w:t>problems.</w:t>
      </w:r>
      <w:r w:rsidR="00011767">
        <w:t xml:space="preserve"> However, the demand-side aggregation problem called the “paradox of thrift” is not ignored below.</w:t>
      </w:r>
    </w:p>
    <w:p w:rsidR="003509EA" w:rsidRDefault="006B3DED" w:rsidP="00FB4485">
      <w:pPr>
        <w:pStyle w:val="H3"/>
      </w:pPr>
      <w:bookmarkStart w:id="11" w:name="_Ref409794942"/>
      <w:r>
        <w:t>The</w:t>
      </w:r>
      <w:r w:rsidR="00B71607" w:rsidRPr="00B71607">
        <w:t xml:space="preserve"> </w:t>
      </w:r>
      <w:r>
        <w:t>FE</w:t>
      </w:r>
      <w:r w:rsidR="00B71607" w:rsidRPr="00B71607">
        <w:t xml:space="preserve"> </w:t>
      </w:r>
      <w:r>
        <w:t>Assumption.</w:t>
      </w:r>
      <w:bookmarkEnd w:id="11"/>
      <w:r w:rsidR="00B71607" w:rsidRPr="00B71607">
        <w:t xml:space="preserve"> </w:t>
      </w:r>
    </w:p>
    <w:p w:rsidR="006B3DED" w:rsidRPr="00253688" w:rsidRDefault="005D1D47" w:rsidP="006B3DED">
      <w:pPr>
        <w:spacing w:line="240" w:lineRule="auto"/>
        <w:rPr>
          <w:bCs/>
        </w:rPr>
      </w:pPr>
      <w:r>
        <w:t>A key</w:t>
      </w:r>
      <w:r w:rsidR="00B71607" w:rsidRPr="00B71607">
        <w:t xml:space="preserve"> </w:t>
      </w:r>
      <w:r w:rsidR="006B3DED">
        <w:t>problem</w:t>
      </w:r>
      <w:r w:rsidR="00B71607" w:rsidRPr="00B71607">
        <w:t xml:space="preserve"> </w:t>
      </w:r>
      <w:r w:rsidR="003E1CCF">
        <w:t>is that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3E1CCF">
        <w:t xml:space="preserve">growth </w:t>
      </w:r>
      <w:r w:rsidR="006B3DED">
        <w:t>literature</w:t>
      </w:r>
      <w:r w:rsidR="00B71607" w:rsidRPr="00B71607">
        <w:t xml:space="preserve"> </w:t>
      </w:r>
      <w:r w:rsidR="006B3DED">
        <w:t>from</w:t>
      </w:r>
      <w:r w:rsidR="00B71607" w:rsidRPr="00B71607">
        <w:t xml:space="preserve"> </w:t>
      </w:r>
      <w:r w:rsidR="006B3DED" w:rsidRPr="00D4213A">
        <w:rPr>
          <w:noProof/>
        </w:rPr>
        <w:t>Harrod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Hoover</w:t>
      </w:r>
      <w:r w:rsidR="00B71607" w:rsidRPr="00B71607">
        <w:t xml:space="preserve"> </w:t>
      </w:r>
      <w:r w:rsidR="006B3DED">
        <w:t>(with</w:t>
      </w:r>
      <w:r w:rsidR="00B71607" w:rsidRPr="00B71607">
        <w:t xml:space="preserve"> </w:t>
      </w:r>
      <w:r w:rsidR="006B3DED">
        <w:t>Solow</w:t>
      </w:r>
      <w:r w:rsidR="00B71607" w:rsidRPr="00B71607">
        <w:t xml:space="preserve"> </w:t>
      </w:r>
      <w:r w:rsidR="006B3DED">
        <w:t>in</w:t>
      </w:r>
      <w:r w:rsidR="007C75A4">
        <w:t xml:space="preserve"> </w:t>
      </w:r>
      <w:r w:rsidR="006B3DED">
        <w:t>b</w:t>
      </w:r>
      <w:r w:rsidR="006B3DED">
        <w:t>e</w:t>
      </w:r>
      <w:r w:rsidR="006B3DED">
        <w:t>tween)</w:t>
      </w:r>
      <w:r w:rsidR="00B71607" w:rsidRPr="00B71607">
        <w:t xml:space="preserve"> </w:t>
      </w:r>
      <w:r w:rsidR="003E1CCF">
        <w:t>employed</w:t>
      </w:r>
      <w:r w:rsidR="003E1CCF" w:rsidRPr="005D1D47">
        <w:rPr>
          <w:i/>
        </w:rPr>
        <w:t xml:space="preserve"> </w:t>
      </w:r>
      <w:r w:rsidRPr="005D1D47">
        <w:rPr>
          <w:i/>
        </w:rPr>
        <w:t xml:space="preserve">the FE </w:t>
      </w:r>
      <w:r w:rsidR="006B3DED" w:rsidRPr="005D1D47">
        <w:rPr>
          <w:i/>
        </w:rPr>
        <w:t>assumption</w:t>
      </w:r>
      <w:r w:rsidR="00A32FAA">
        <w:t xml:space="preserve">, i.e., that </w:t>
      </w:r>
      <w:r w:rsidR="006B3DED">
        <w:t>if</w:t>
      </w:r>
      <w:r w:rsidR="00B71607" w:rsidRPr="00B71607">
        <w:t xml:space="preserve"> </w:t>
      </w:r>
      <w:proofErr w:type="spellStart"/>
      <w:r w:rsidR="006B3DED">
        <w:rPr>
          <w:b/>
        </w:rPr>
        <w:t>g</w:t>
      </w:r>
      <w:r w:rsidR="008B3D18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6B3DED">
        <w:t>=</w:t>
      </w:r>
      <w:r w:rsidR="00B71607" w:rsidRPr="00B71607">
        <w:t xml:space="preserve"> </w:t>
      </w:r>
      <w:proofErr w:type="spellStart"/>
      <w:r w:rsidR="006B3DED">
        <w:rPr>
          <w:b/>
        </w:rPr>
        <w:t>g</w:t>
      </w:r>
      <w:r w:rsidR="006B3DED">
        <w:rPr>
          <w:b/>
          <w:smallCaps/>
          <w:vertAlign w:val="subscript"/>
        </w:rPr>
        <w:t>f</w:t>
      </w:r>
      <w:proofErr w:type="spellEnd"/>
      <w:r w:rsidR="006B3DED">
        <w:t>,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growth</w:t>
      </w:r>
      <w:r w:rsidR="00B71607" w:rsidRPr="00B71607">
        <w:t xml:space="preserve"> </w:t>
      </w:r>
      <w:r w:rsidR="006B3DED">
        <w:t>path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characterized</w:t>
      </w:r>
      <w:r w:rsidR="00B71607" w:rsidRPr="00B71607">
        <w:t xml:space="preserve"> </w:t>
      </w:r>
      <w:r w:rsidR="006B3DED">
        <w:t>by</w:t>
      </w:r>
      <w:r w:rsidR="00B71607" w:rsidRPr="00B71607">
        <w:t xml:space="preserve"> </w:t>
      </w:r>
      <w:r w:rsidR="006B3DED">
        <w:rPr>
          <w:b/>
          <w:i/>
        </w:rPr>
        <w:t>e</w:t>
      </w:r>
      <w:r w:rsidR="00B71607" w:rsidRPr="00B71607">
        <w:t xml:space="preserve"> </w:t>
      </w:r>
      <w:r w:rsidR="006B3DED">
        <w:t>=</w:t>
      </w:r>
      <w:r w:rsidR="00B71607" w:rsidRPr="00B71607">
        <w:t xml:space="preserve"> </w:t>
      </w:r>
      <w:r w:rsidR="006B3DED">
        <w:t>1.</w:t>
      </w:r>
      <w:r w:rsidR="00B71607" w:rsidRPr="00B71607">
        <w:t xml:space="preserve"> </w:t>
      </w:r>
      <w:r w:rsidR="006B3DED">
        <w:t>Th</w:t>
      </w:r>
      <w:r w:rsidR="00B5564B">
        <w:t xml:space="preserve">at is, the growth literature assumes that the economy follows the </w:t>
      </w:r>
      <w:r w:rsidR="00800F65">
        <w:t xml:space="preserve">FE </w:t>
      </w:r>
      <w:r w:rsidR="00B5564B">
        <w:t xml:space="preserve">path labelled </w:t>
      </w:r>
      <w:r w:rsidR="006B3DED" w:rsidRPr="001D2D0F">
        <w:rPr>
          <w:b/>
          <w:i/>
        </w:rPr>
        <w:t>F</w:t>
      </w:r>
      <w:r w:rsidR="00FA39A3" w:rsidRPr="001D2D0F">
        <w:rPr>
          <w:b/>
          <w:i/>
        </w:rPr>
        <w:t>F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fldChar w:fldCharType="begin"/>
      </w:r>
      <w:r w:rsidR="006B3DED">
        <w:instrText xml:space="preserve"> REF  _Ref407686664 \h \* Lower </w:instrText>
      </w:r>
      <w:r w:rsidR="006B3DED">
        <w:fldChar w:fldCharType="separate"/>
      </w:r>
      <w:r w:rsidR="00292438">
        <w:t>figure</w:t>
      </w:r>
      <w:r w:rsidR="00292438" w:rsidRPr="00B71607">
        <w:t xml:space="preserve"> </w:t>
      </w:r>
      <w:r w:rsidR="00292438">
        <w:rPr>
          <w:noProof/>
        </w:rPr>
        <w:t>1</w:t>
      </w:r>
      <w:r w:rsidR="006B3DED">
        <w:fldChar w:fldCharType="end"/>
      </w:r>
      <w:r w:rsidR="006B3DED">
        <w:t>.</w:t>
      </w:r>
      <w:r w:rsidR="00B71607" w:rsidRPr="00B71607">
        <w:t xml:space="preserve"> </w:t>
      </w:r>
      <w:r w:rsidR="00A032A2">
        <w:t xml:space="preserve">But </w:t>
      </w:r>
      <w:r w:rsidR="006B3DED">
        <w:t>there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another</w:t>
      </w:r>
      <w:r w:rsidR="00B71607" w:rsidRPr="00B71607">
        <w:t xml:space="preserve"> </w:t>
      </w:r>
      <w:r w:rsidR="006B3DED">
        <w:t>possibility:</w:t>
      </w:r>
      <w:r w:rsidR="00B71607" w:rsidRPr="00B71607">
        <w:t xml:space="preserve"> </w:t>
      </w:r>
      <w:r w:rsidR="00A65371">
        <w:t xml:space="preserve">this is </w:t>
      </w:r>
      <w:r w:rsidR="006B3DED">
        <w:t>a</w:t>
      </w:r>
      <w:r w:rsidR="00B71607" w:rsidRPr="00B71607">
        <w:t xml:space="preserve"> </w:t>
      </w:r>
      <w:r w:rsidR="006B3DED">
        <w:t>warranted</w:t>
      </w:r>
      <w:r w:rsidR="00B71607" w:rsidRPr="00B71607">
        <w:t xml:space="preserve"> </w:t>
      </w:r>
      <w:r w:rsidR="006B3DED">
        <w:t>growth</w:t>
      </w:r>
      <w:r w:rsidR="00B71607" w:rsidRPr="00B71607">
        <w:t xml:space="preserve"> </w:t>
      </w:r>
      <w:r w:rsidR="006B3DED">
        <w:t>path</w:t>
      </w:r>
      <w:r w:rsidR="00B71607" w:rsidRPr="00B71607">
        <w:t xml:space="preserve"> </w:t>
      </w:r>
      <w:r w:rsidR="006B3DED">
        <w:t>such</w:t>
      </w:r>
      <w:r w:rsidR="00B71607" w:rsidRPr="00B71607">
        <w:t xml:space="preserve"> </w:t>
      </w:r>
      <w:r w:rsidR="006B3DED">
        <w:t>as</w:t>
      </w:r>
      <w:r w:rsidR="00B71607" w:rsidRPr="00B71607">
        <w:t xml:space="preserve"> </w:t>
      </w:r>
      <w:r w:rsidR="006B3DED">
        <w:t>that</w:t>
      </w:r>
      <w:r w:rsidR="00B71607" w:rsidRPr="00B71607">
        <w:t xml:space="preserve"> </w:t>
      </w:r>
      <w:r w:rsidR="006B3DED">
        <w:t>marked</w:t>
      </w:r>
      <w:r w:rsidR="00B71607" w:rsidRPr="00B71607">
        <w:t xml:space="preserve"> </w:t>
      </w:r>
      <w:r w:rsidR="00535AE4" w:rsidRPr="001D2D0F">
        <w:rPr>
          <w:b/>
          <w:i/>
        </w:rPr>
        <w:t>Y</w:t>
      </w:r>
      <w:r w:rsidR="00FA39A3" w:rsidRPr="001D2D0F">
        <w:rPr>
          <w:b/>
          <w:i/>
        </w:rPr>
        <w:t>Y</w:t>
      </w:r>
      <w:r w:rsidR="00A65371">
        <w:t>,</w:t>
      </w:r>
      <w:r w:rsidR="007C75A4">
        <w:t xml:space="preserve"> </w:t>
      </w:r>
      <w:r w:rsidR="006B3DED">
        <w:t>with</w:t>
      </w:r>
      <w:r w:rsidR="00B71607" w:rsidRPr="00B71607">
        <w:t xml:space="preserve"> </w:t>
      </w:r>
      <w:r w:rsidR="006B3DED" w:rsidRPr="003F1BC8">
        <w:rPr>
          <w:b/>
          <w:i/>
        </w:rPr>
        <w:t>e</w:t>
      </w:r>
      <w:r w:rsidR="00B71607" w:rsidRPr="00B71607">
        <w:t xml:space="preserve"> </w:t>
      </w:r>
      <w:r w:rsidR="00800F65">
        <w:t>constant</w:t>
      </w:r>
      <w:r w:rsidR="00800F65" w:rsidRPr="00B71607">
        <w:t xml:space="preserve"> </w:t>
      </w:r>
      <w:r w:rsidR="00800F65">
        <w:t xml:space="preserve">but different from </w:t>
      </w:r>
      <w:r w:rsidR="006B3DED">
        <w:t>than</w:t>
      </w:r>
      <w:r w:rsidR="00B71607" w:rsidRPr="00B71607">
        <w:t xml:space="preserve"> </w:t>
      </w:r>
      <w:r w:rsidR="006B3DED">
        <w:t>unity.</w:t>
      </w:r>
      <w:r w:rsidR="006B3DED">
        <w:rPr>
          <w:rStyle w:val="EndnoteReference"/>
          <w:bCs/>
        </w:rPr>
        <w:endnoteReference w:id="16"/>
      </w:r>
      <w:r w:rsidR="00B71607" w:rsidRPr="00B71607">
        <w:rPr>
          <w:bCs/>
        </w:rPr>
        <w:t xml:space="preserve"> </w:t>
      </w:r>
    </w:p>
    <w:p w:rsidR="007C75A4" w:rsidRDefault="007C75A4" w:rsidP="006B3DED">
      <w:pPr>
        <w:spacing w:line="240" w:lineRule="auto"/>
      </w:pPr>
      <w:r>
        <w:lastRenderedPageBreak/>
        <w:t>This</w:t>
      </w:r>
      <w:r w:rsidRPr="00B71607">
        <w:t xml:space="preserve"> </w:t>
      </w:r>
      <w:r>
        <w:t>case</w:t>
      </w:r>
      <w:r w:rsidRPr="00B71607">
        <w:t xml:space="preserve"> </w:t>
      </w:r>
      <w:r>
        <w:t>fits</w:t>
      </w:r>
      <w:r w:rsidRPr="00B71607">
        <w:t xml:space="preserve"> </w:t>
      </w:r>
      <w:r>
        <w:t>Okun’s</w:t>
      </w:r>
      <w:r w:rsidRPr="00B71607">
        <w:t xml:space="preserve"> </w:t>
      </w:r>
      <w:r>
        <w:t>empirical</w:t>
      </w:r>
      <w:r w:rsidRPr="00B71607">
        <w:t xml:space="preserve"> </w:t>
      </w:r>
      <w:r>
        <w:t>generalization</w:t>
      </w:r>
      <w:r w:rsidRPr="00B71607">
        <w:t xml:space="preserve"> </w:t>
      </w:r>
      <w:r>
        <w:t>(or</w:t>
      </w:r>
      <w:r w:rsidRPr="00B71607">
        <w:t xml:space="preserve"> </w:t>
      </w:r>
      <w:r>
        <w:t>“law”),</w:t>
      </w:r>
      <w:r w:rsidRPr="00B71607">
        <w:t xml:space="preserve"> </w:t>
      </w:r>
      <w:r>
        <w:t>which</w:t>
      </w:r>
      <w:r w:rsidRPr="00B71607">
        <w:t xml:space="preserve"> </w:t>
      </w:r>
      <w:r>
        <w:t>says</w:t>
      </w:r>
      <w:r w:rsidRPr="00B71607">
        <w:t xml:space="preserve"> </w:t>
      </w:r>
      <w:r>
        <w:t>that</w:t>
      </w:r>
      <w:r w:rsidRPr="00B71607">
        <w:t xml:space="preserve"> </w:t>
      </w:r>
      <w:r>
        <w:rPr>
          <w:b/>
        </w:rPr>
        <w:t>Y</w:t>
      </w:r>
      <w:r w:rsidRPr="00B71607">
        <w:t xml:space="preserve"> </w:t>
      </w:r>
      <w:r>
        <w:t>can</w:t>
      </w:r>
      <w:r w:rsidRPr="00B71607">
        <w:t xml:space="preserve"> </w:t>
      </w:r>
      <w:r>
        <w:t>enjoy</w:t>
      </w:r>
      <w:r w:rsidRPr="00B71607">
        <w:t xml:space="preserve"> </w:t>
      </w:r>
      <w:r>
        <w:t>pos</w:t>
      </w:r>
      <w:r>
        <w:t>i</w:t>
      </w:r>
      <w:r>
        <w:t>tive</w:t>
      </w:r>
      <w:r w:rsidRPr="00B71607">
        <w:t xml:space="preserve"> </w:t>
      </w:r>
      <w:r>
        <w:t>growth</w:t>
      </w:r>
      <w:r w:rsidRPr="00B71607">
        <w:t xml:space="preserve"> </w:t>
      </w:r>
      <w:r>
        <w:t>without</w:t>
      </w:r>
      <w:r w:rsidRPr="00B71607">
        <w:t xml:space="preserve"> </w:t>
      </w:r>
      <w:r>
        <w:t>lowering</w:t>
      </w:r>
      <w:r w:rsidRPr="00B71607">
        <w:t xml:space="preserve"> </w:t>
      </w:r>
      <w:r>
        <w:t>unemployment</w:t>
      </w:r>
      <w:r w:rsidRPr="00B71607">
        <w:t xml:space="preserve"> </w:t>
      </w:r>
      <w:r>
        <w:t>and</w:t>
      </w:r>
      <w:r w:rsidRPr="00B71607">
        <w:t xml:space="preserve"> </w:t>
      </w:r>
      <w:r>
        <w:t>raising</w:t>
      </w:r>
      <w:r w:rsidRPr="00B71607">
        <w:t xml:space="preserve"> </w:t>
      </w:r>
      <w:r w:rsidRPr="00D51A46">
        <w:rPr>
          <w:b/>
          <w:i/>
        </w:rPr>
        <w:t>e</w:t>
      </w:r>
      <w:r w:rsidRPr="00B71607">
        <w:t xml:space="preserve"> </w:t>
      </w:r>
      <w:r>
        <w:t>–</w:t>
      </w:r>
      <w:r w:rsidRPr="00B71607">
        <w:t xml:space="preserve"> </w:t>
      </w:r>
      <w:r>
        <w:t>or</w:t>
      </w:r>
      <w:r w:rsidRPr="00B71607">
        <w:t xml:space="preserve"> </w:t>
      </w:r>
      <w:r>
        <w:rPr>
          <w:i/>
        </w:rPr>
        <w:t>vice-versa</w:t>
      </w:r>
      <w:r>
        <w:t>.</w:t>
      </w:r>
      <w:r w:rsidRPr="00B71607">
        <w:t xml:space="preserve"> </w:t>
      </w:r>
      <w:r>
        <w:t>Because</w:t>
      </w:r>
      <w:r w:rsidRPr="00B71607">
        <w:t xml:space="preserve"> </w:t>
      </w:r>
      <w:r>
        <w:t>of</w:t>
      </w:r>
      <w:r w:rsidRPr="00B71607">
        <w:t xml:space="preserve"> </w:t>
      </w:r>
      <w:r>
        <w:t>the</w:t>
      </w:r>
      <w:r w:rsidRPr="00B71607">
        <w:t xml:space="preserve"> </w:t>
      </w:r>
      <w:r>
        <w:t>normal</w:t>
      </w:r>
      <w:r w:rsidRPr="00B71607">
        <w:t xml:space="preserve"> </w:t>
      </w:r>
      <w:r>
        <w:t>steady</w:t>
      </w:r>
      <w:r w:rsidRPr="00B71607">
        <w:t xml:space="preserve"> </w:t>
      </w:r>
      <w:r>
        <w:t>growth</w:t>
      </w:r>
      <w:r w:rsidRPr="00B71607">
        <w:t xml:space="preserve"> </w:t>
      </w:r>
      <w:r>
        <w:t>of</w:t>
      </w:r>
      <w:r w:rsidRPr="00B71607">
        <w:t xml:space="preserve"> </w:t>
      </w:r>
      <w:r>
        <w:t>the</w:t>
      </w:r>
      <w:r w:rsidRPr="00B71607">
        <w:t xml:space="preserve"> </w:t>
      </w:r>
      <w:r>
        <w:t>labor</w:t>
      </w:r>
      <w:r w:rsidRPr="00B71607">
        <w:t xml:space="preserve"> </w:t>
      </w:r>
      <w:r>
        <w:t>force</w:t>
      </w:r>
      <w:r w:rsidRPr="00B71607">
        <w:t xml:space="preserve"> </w:t>
      </w:r>
      <w:r>
        <w:t>and</w:t>
      </w:r>
      <w:r w:rsidRPr="00B71607">
        <w:t xml:space="preserve"> </w:t>
      </w:r>
      <w:r>
        <w:t>the</w:t>
      </w:r>
      <w:r w:rsidRPr="00B71607">
        <w:t xml:space="preserve"> </w:t>
      </w:r>
      <w:r>
        <w:t>way</w:t>
      </w:r>
      <w:r w:rsidRPr="00B71607">
        <w:t xml:space="preserve"> </w:t>
      </w:r>
      <w:r>
        <w:t>in</w:t>
      </w:r>
      <w:r w:rsidRPr="00B71607">
        <w:t xml:space="preserve"> </w:t>
      </w:r>
      <w:r>
        <w:t>which</w:t>
      </w:r>
      <w:r w:rsidRPr="00B71607">
        <w:t xml:space="preserve"> </w:t>
      </w:r>
      <w:r>
        <w:t>productivity</w:t>
      </w:r>
      <w:r w:rsidRPr="00B71607">
        <w:t xml:space="preserve"> </w:t>
      </w:r>
      <w:r>
        <w:t>growth</w:t>
      </w:r>
      <w:r w:rsidRPr="00B71607">
        <w:t xml:space="preserve"> </w:t>
      </w:r>
      <w:r>
        <w:t>tends</w:t>
      </w:r>
      <w:r w:rsidRPr="00B71607">
        <w:t xml:space="preserve"> </w:t>
      </w:r>
      <w:r>
        <w:t>to</w:t>
      </w:r>
      <w:r w:rsidRPr="00B71607">
        <w:t xml:space="preserve"> </w:t>
      </w:r>
      <w:r>
        <w:t>make</w:t>
      </w:r>
      <w:r w:rsidRPr="00B71607">
        <w:t xml:space="preserve"> </w:t>
      </w:r>
      <w:r>
        <w:t>current</w:t>
      </w:r>
      <w:r w:rsidRPr="00B71607">
        <w:t xml:space="preserve"> </w:t>
      </w:r>
      <w:r>
        <w:t>employees</w:t>
      </w:r>
      <w:r w:rsidRPr="00B71607">
        <w:t xml:space="preserve"> </w:t>
      </w:r>
      <w:r>
        <w:t>redundant,</w:t>
      </w:r>
      <w:r w:rsidRPr="00B71607">
        <w:t xml:space="preserve"> </w:t>
      </w:r>
      <w:r>
        <w:t>output</w:t>
      </w:r>
      <w:r w:rsidRPr="00B71607">
        <w:t xml:space="preserve"> </w:t>
      </w:r>
      <w:r>
        <w:t>growth</w:t>
      </w:r>
      <w:r w:rsidRPr="00B71607">
        <w:t xml:space="preserve"> </w:t>
      </w:r>
      <w:r>
        <w:t>must</w:t>
      </w:r>
      <w:r w:rsidRPr="00B71607">
        <w:t xml:space="preserve"> </w:t>
      </w:r>
      <w:r>
        <w:t>be</w:t>
      </w:r>
      <w:r w:rsidRPr="00B71607">
        <w:t xml:space="preserve"> </w:t>
      </w:r>
      <w:r>
        <w:t>positive</w:t>
      </w:r>
      <w:r w:rsidRPr="00B71607">
        <w:t xml:space="preserve"> </w:t>
      </w:r>
      <w:r>
        <w:t>merely</w:t>
      </w:r>
      <w:r w:rsidRPr="00B71607">
        <w:t xml:space="preserve"> </w:t>
      </w:r>
      <w:r>
        <w:t>to</w:t>
      </w:r>
      <w:r w:rsidRPr="00B71607">
        <w:t xml:space="preserve"> </w:t>
      </w:r>
      <w:r>
        <w:t>keep</w:t>
      </w:r>
      <w:r w:rsidRPr="00B71607">
        <w:t xml:space="preserve"> </w:t>
      </w:r>
      <w:proofErr w:type="spellStart"/>
      <w:r>
        <w:rPr>
          <w:b/>
          <w:i/>
        </w:rPr>
        <w:t>e</w:t>
      </w:r>
      <w:proofErr w:type="spellEnd"/>
      <w:r w:rsidRPr="00B71607">
        <w:t xml:space="preserve"> </w:t>
      </w:r>
      <w:r>
        <w:t>from</w:t>
      </w:r>
      <w:r w:rsidRPr="00B71607">
        <w:t xml:space="preserve"> </w:t>
      </w:r>
      <w:r w:rsidR="000869AF">
        <w:t>falling</w:t>
      </w:r>
      <w:r>
        <w:t>.</w:t>
      </w:r>
      <w:r w:rsidRPr="00B71607">
        <w:t xml:space="preserve"> </w:t>
      </w:r>
      <w:r>
        <w:t>In</w:t>
      </w:r>
      <w:r w:rsidRPr="00B71607">
        <w:t xml:space="preserve"> </w:t>
      </w:r>
      <w:r>
        <w:t>dynamic</w:t>
      </w:r>
      <w:r w:rsidRPr="00B71607">
        <w:t xml:space="preserve"> </w:t>
      </w:r>
      <w:r>
        <w:t>version</w:t>
      </w:r>
      <w:r w:rsidRPr="00B71607">
        <w:t xml:space="preserve"> </w:t>
      </w:r>
      <w:r>
        <w:t>of</w:t>
      </w:r>
      <w:r w:rsidRPr="00B71607">
        <w:t xml:space="preserve"> </w:t>
      </w:r>
      <w:r>
        <w:t>this</w:t>
      </w:r>
      <w:r w:rsidRPr="00B71607">
        <w:t xml:space="preserve"> </w:t>
      </w:r>
      <w:r>
        <w:t>“law,”</w:t>
      </w:r>
      <w:r w:rsidRPr="00B71607">
        <w:t xml:space="preserve"> </w:t>
      </w:r>
      <w:r>
        <w:t>if</w:t>
      </w:r>
      <w:r w:rsidRPr="00B71607">
        <w:t xml:space="preserve"> </w:t>
      </w:r>
      <w:r>
        <w:t>actual</w:t>
      </w:r>
      <w:r w:rsidRPr="00B71607">
        <w:t xml:space="preserve"> </w:t>
      </w:r>
      <w:r>
        <w:rPr>
          <w:b/>
        </w:rPr>
        <w:t>Y</w:t>
      </w:r>
      <w:r w:rsidRPr="00B71607">
        <w:t xml:space="preserve"> </w:t>
      </w:r>
      <w:r w:rsidRPr="00D51A46">
        <w:t>growth</w:t>
      </w:r>
      <w:r w:rsidRPr="00B71607">
        <w:t xml:space="preserve"> </w:t>
      </w:r>
      <w:r>
        <w:t>equals</w:t>
      </w:r>
      <w:r w:rsidRPr="00B71607">
        <w:t xml:space="preserve"> </w:t>
      </w:r>
      <w:r>
        <w:t>a</w:t>
      </w:r>
      <w:r w:rsidRPr="00B71607">
        <w:t xml:space="preserve"> </w:t>
      </w:r>
      <w:r>
        <w:t>given</w:t>
      </w:r>
      <w:r w:rsidRPr="00B71607">
        <w:t xml:space="preserve"> </w:t>
      </w:r>
      <w:r>
        <w:t>rate,</w:t>
      </w:r>
      <w:r w:rsidRPr="00B71607">
        <w:t xml:space="preserve"> </w:t>
      </w:r>
      <w:r>
        <w:t>then</w:t>
      </w:r>
      <w:r w:rsidRPr="00B71607">
        <w:t xml:space="preserve"> </w:t>
      </w:r>
      <w:r w:rsidRPr="00D51A46">
        <w:rPr>
          <w:b/>
          <w:i/>
        </w:rPr>
        <w:t>e</w:t>
      </w:r>
      <w:r w:rsidRPr="00B71607">
        <w:t xml:space="preserve"> </w:t>
      </w:r>
      <w:r>
        <w:t>is</w:t>
      </w:r>
      <w:r w:rsidRPr="00B71607">
        <w:t xml:space="preserve"> </w:t>
      </w:r>
      <w:r>
        <w:t>co</w:t>
      </w:r>
      <w:r>
        <w:t>n</w:t>
      </w:r>
      <w:r>
        <w:t>stant,</w:t>
      </w:r>
      <w:r w:rsidRPr="00B71607">
        <w:t xml:space="preserve"> </w:t>
      </w:r>
      <w:r>
        <w:t>but</w:t>
      </w:r>
      <w:r w:rsidRPr="00B71607">
        <w:t xml:space="preserve"> </w:t>
      </w:r>
      <w:r>
        <w:t>not</w:t>
      </w:r>
      <w:r w:rsidRPr="00B71607">
        <w:t xml:space="preserve"> </w:t>
      </w:r>
      <w:r>
        <w:t>necessarily</w:t>
      </w:r>
      <w:r w:rsidRPr="00B71607">
        <w:t xml:space="preserve"> </w:t>
      </w:r>
      <w:r>
        <w:t>equal</w:t>
      </w:r>
      <w:r w:rsidRPr="00B71607">
        <w:t xml:space="preserve"> </w:t>
      </w:r>
      <w:r>
        <w:t>to</w:t>
      </w:r>
      <w:r w:rsidRPr="00B71607">
        <w:t xml:space="preserve"> </w:t>
      </w:r>
      <w:r>
        <w:t>unity</w:t>
      </w:r>
      <w:r w:rsidRPr="00B71607">
        <w:t xml:space="preserve"> </w:t>
      </w:r>
      <w:r>
        <w:t>(as</w:t>
      </w:r>
      <w:r w:rsidRPr="00B71607">
        <w:t xml:space="preserve"> </w:t>
      </w:r>
      <w:r>
        <w:t>with</w:t>
      </w:r>
      <w:r w:rsidRPr="00B71607">
        <w:t xml:space="preserve"> </w:t>
      </w:r>
      <w:r>
        <w:t>movement</w:t>
      </w:r>
      <w:r w:rsidRPr="00B71607">
        <w:t xml:space="preserve"> </w:t>
      </w:r>
      <w:r>
        <w:t>along</w:t>
      </w:r>
      <w:r w:rsidRPr="00B71607">
        <w:t xml:space="preserve"> </w:t>
      </w:r>
      <w:r>
        <w:t>line</w:t>
      </w:r>
      <w:r w:rsidRPr="00B71607">
        <w:t xml:space="preserve"> </w:t>
      </w:r>
      <w:r w:rsidR="00535AE4">
        <w:rPr>
          <w:b/>
        </w:rPr>
        <w:t>Y</w:t>
      </w:r>
      <w:r>
        <w:t>).</w:t>
      </w:r>
      <w:r w:rsidRPr="00B71607">
        <w:t xml:space="preserve"> </w:t>
      </w:r>
      <w:r>
        <w:t>That</w:t>
      </w:r>
      <w:r w:rsidRPr="00B71607">
        <w:t xml:space="preserve"> </w:t>
      </w:r>
      <w:r>
        <w:t>given</w:t>
      </w:r>
      <w:r w:rsidRPr="00B71607">
        <w:t xml:space="preserve"> </w:t>
      </w:r>
      <w:r>
        <w:t>rate</w:t>
      </w:r>
      <w:r w:rsidRPr="00B71607">
        <w:t xml:space="preserve"> </w:t>
      </w:r>
      <w:r>
        <w:t>is</w:t>
      </w:r>
      <w:r w:rsidRPr="00B71607">
        <w:t xml:space="preserve"> </w:t>
      </w:r>
      <w:r w:rsidR="00B81DE7">
        <w:t>basically</w:t>
      </w:r>
      <w:r w:rsidRPr="00B71607">
        <w:t xml:space="preserve"> </w:t>
      </w:r>
      <w:r>
        <w:t>an</w:t>
      </w:r>
      <w:r w:rsidRPr="00B71607">
        <w:t xml:space="preserve"> </w:t>
      </w:r>
      <w:r>
        <w:t>empirical</w:t>
      </w:r>
      <w:r w:rsidRPr="00B71607">
        <w:t xml:space="preserve"> </w:t>
      </w:r>
      <w:r>
        <w:t>estimate</w:t>
      </w:r>
      <w:r w:rsidRPr="00B71607">
        <w:t xml:space="preserve"> </w:t>
      </w:r>
      <w:r>
        <w:t>of</w:t>
      </w:r>
      <w:r w:rsidRPr="00B71607">
        <w:t xml:space="preserve"> </w:t>
      </w:r>
      <w:r>
        <w:t>Harrod’s</w:t>
      </w:r>
      <w:r w:rsidRPr="00B71607">
        <w:t xml:space="preserve"> </w:t>
      </w:r>
      <w:proofErr w:type="spellStart"/>
      <w:r w:rsidRPr="00D51A46">
        <w:rPr>
          <w:b/>
        </w:rPr>
        <w:t>g</w:t>
      </w:r>
      <w:r w:rsidRPr="00D51A46">
        <w:rPr>
          <w:b/>
          <w:smallCaps/>
          <w:vertAlign w:val="subscript"/>
        </w:rPr>
        <w:t>f</w:t>
      </w:r>
      <w:proofErr w:type="spellEnd"/>
      <w:r>
        <w:t>.</w:t>
      </w:r>
      <w:r w:rsidRPr="00B71607">
        <w:t xml:space="preserve"> </w:t>
      </w:r>
      <w:r>
        <w:t>Then,</w:t>
      </w:r>
      <w:r w:rsidRPr="00B71607">
        <w:t xml:space="preserve"> </w:t>
      </w:r>
      <w:r>
        <w:t>if</w:t>
      </w:r>
      <w:r w:rsidRPr="00B71607">
        <w:t xml:space="preserve"> </w:t>
      </w:r>
      <w:r w:rsidRPr="00D51A46">
        <w:rPr>
          <w:b/>
        </w:rPr>
        <w:t>g</w:t>
      </w:r>
      <w:r w:rsidRPr="00B71607">
        <w:t xml:space="preserve"> </w:t>
      </w:r>
      <w:r>
        <w:t>&lt;</w:t>
      </w:r>
      <w:r w:rsidRPr="00B71607">
        <w:t xml:space="preserve"> </w:t>
      </w:r>
      <w:proofErr w:type="spellStart"/>
      <w:r w:rsidRPr="00D51A46">
        <w:rPr>
          <w:b/>
        </w:rPr>
        <w:t>g</w:t>
      </w:r>
      <w:r w:rsidRPr="00D51A46">
        <w:rPr>
          <w:b/>
          <w:smallCaps/>
          <w:vertAlign w:val="subscript"/>
        </w:rPr>
        <w:t>f</w:t>
      </w:r>
      <w:proofErr w:type="spellEnd"/>
      <w:r>
        <w:t>,</w:t>
      </w:r>
      <w:r w:rsidRPr="00B71607">
        <w:t xml:space="preserve"> </w:t>
      </w:r>
      <w:r w:rsidRPr="00D51A46">
        <w:rPr>
          <w:b/>
          <w:i/>
        </w:rPr>
        <w:t>e</w:t>
      </w:r>
      <w:r w:rsidRPr="00B71607">
        <w:t xml:space="preserve"> </w:t>
      </w:r>
      <w:r>
        <w:t>falls</w:t>
      </w:r>
      <w:r w:rsidRPr="00B71607">
        <w:t xml:space="preserve"> </w:t>
      </w:r>
      <w:r>
        <w:t>even</w:t>
      </w:r>
      <w:r w:rsidRPr="00B71607">
        <w:t xml:space="preserve"> </w:t>
      </w:r>
      <w:r>
        <w:t>if</w:t>
      </w:r>
      <w:r w:rsidRPr="00B71607">
        <w:t xml:space="preserve"> </w:t>
      </w:r>
      <w:r>
        <w:rPr>
          <w:b/>
        </w:rPr>
        <w:t>g</w:t>
      </w:r>
      <w:r w:rsidRPr="00B71607">
        <w:t xml:space="preserve"> </w:t>
      </w:r>
      <w:r>
        <w:t>&gt;</w:t>
      </w:r>
      <w:r w:rsidRPr="00B71607">
        <w:t xml:space="preserve"> </w:t>
      </w:r>
      <w:r>
        <w:t>0,</w:t>
      </w:r>
      <w:r w:rsidRPr="00B71607">
        <w:t xml:space="preserve"> </w:t>
      </w:r>
      <w:r>
        <w:t>as</w:t>
      </w:r>
      <w:r w:rsidRPr="00B71607">
        <w:t xml:space="preserve"> </w:t>
      </w:r>
      <w:r>
        <w:t>during</w:t>
      </w:r>
      <w:r w:rsidRPr="00B71607">
        <w:t xml:space="preserve"> </w:t>
      </w:r>
      <w:r>
        <w:t>a</w:t>
      </w:r>
      <w:r w:rsidRPr="00B71607">
        <w:t xml:space="preserve"> </w:t>
      </w:r>
      <w:r>
        <w:t>“growth</w:t>
      </w:r>
      <w:r w:rsidRPr="00B71607">
        <w:t xml:space="preserve"> </w:t>
      </w:r>
      <w:r>
        <w:t>recession,”</w:t>
      </w:r>
      <w:r w:rsidRPr="00B71607">
        <w:t xml:space="preserve"> </w:t>
      </w:r>
      <w:r>
        <w:t>an</w:t>
      </w:r>
      <w:r w:rsidRPr="00B71607">
        <w:t xml:space="preserve"> </w:t>
      </w:r>
      <w:r>
        <w:t>attempted</w:t>
      </w:r>
      <w:r w:rsidRPr="00B71607">
        <w:t xml:space="preserve"> </w:t>
      </w:r>
      <w:r>
        <w:t>“soft</w:t>
      </w:r>
      <w:r w:rsidRPr="00B71607">
        <w:t xml:space="preserve"> </w:t>
      </w:r>
      <w:r>
        <w:t>landing,”</w:t>
      </w:r>
      <w:r w:rsidRPr="00B71607">
        <w:t xml:space="preserve"> </w:t>
      </w:r>
      <w:r>
        <w:t>or</w:t>
      </w:r>
      <w:r w:rsidRPr="00B71607">
        <w:t xml:space="preserve"> </w:t>
      </w:r>
      <w:r>
        <w:t>a</w:t>
      </w:r>
      <w:r w:rsidRPr="00B71607">
        <w:t xml:space="preserve"> </w:t>
      </w:r>
      <w:r>
        <w:t>“jobless</w:t>
      </w:r>
      <w:r w:rsidRPr="00B71607">
        <w:t xml:space="preserve"> </w:t>
      </w:r>
      <w:r>
        <w:t>recovery”</w:t>
      </w:r>
      <w:r w:rsidRPr="00B71607">
        <w:t xml:space="preserve"> </w:t>
      </w:r>
      <w:r>
        <w:t>(as</w:t>
      </w:r>
      <w:r w:rsidRPr="00B71607">
        <w:t xml:space="preserve"> </w:t>
      </w:r>
      <w:r>
        <w:t>with</w:t>
      </w:r>
      <w:r w:rsidRPr="00B71607">
        <w:t xml:space="preserve"> </w:t>
      </w:r>
      <w:r>
        <w:t>the</w:t>
      </w:r>
      <w:r w:rsidRPr="00B71607">
        <w:t xml:space="preserve"> </w:t>
      </w:r>
      <w:r>
        <w:t>arrow</w:t>
      </w:r>
      <w:r w:rsidRPr="00B71607">
        <w:t xml:space="preserve"> </w:t>
      </w:r>
      <w:r>
        <w:t>starting</w:t>
      </w:r>
      <w:r w:rsidRPr="00B71607">
        <w:t xml:space="preserve"> </w:t>
      </w:r>
      <w:r>
        <w:t>at</w:t>
      </w:r>
      <w:r w:rsidRPr="00B71607">
        <w:t xml:space="preserve"> </w:t>
      </w:r>
      <w:r>
        <w:t>point</w:t>
      </w:r>
      <w:r w:rsidRPr="00B71607">
        <w:t xml:space="preserve"> </w:t>
      </w:r>
      <w:r w:rsidRPr="000043A1">
        <w:rPr>
          <w:b/>
        </w:rPr>
        <w:t>3</w:t>
      </w:r>
      <w:r>
        <w:t>).</w:t>
      </w:r>
      <w:r w:rsidRPr="00B71607">
        <w:t xml:space="preserve"> </w:t>
      </w:r>
      <w:r>
        <w:t>Rising</w:t>
      </w:r>
      <w:r w:rsidRPr="00B71607">
        <w:t xml:space="preserve"> </w:t>
      </w:r>
      <w:r>
        <w:rPr>
          <w:b/>
          <w:i/>
        </w:rPr>
        <w:t>e</w:t>
      </w:r>
      <w:r w:rsidRPr="00B71607">
        <w:t xml:space="preserve"> </w:t>
      </w:r>
      <w:r>
        <w:t>requires</w:t>
      </w:r>
      <w:r w:rsidRPr="00B71607">
        <w:t xml:space="preserve"> </w:t>
      </w:r>
      <w:r w:rsidRPr="00D51A46">
        <w:rPr>
          <w:b/>
        </w:rPr>
        <w:t>g</w:t>
      </w:r>
      <w:r w:rsidRPr="00B71607">
        <w:t xml:space="preserve"> </w:t>
      </w:r>
      <w:r>
        <w:t>&gt;</w:t>
      </w:r>
      <w:r w:rsidRPr="00B71607">
        <w:t xml:space="preserve"> </w:t>
      </w:r>
      <w:proofErr w:type="spellStart"/>
      <w:r w:rsidRPr="00D51A46">
        <w:rPr>
          <w:b/>
        </w:rPr>
        <w:t>g</w:t>
      </w:r>
      <w:r w:rsidRPr="00D51A46">
        <w:rPr>
          <w:b/>
          <w:smallCaps/>
          <w:vertAlign w:val="subscript"/>
        </w:rPr>
        <w:t>f</w:t>
      </w:r>
      <w:proofErr w:type="spellEnd"/>
      <w:r w:rsidRPr="00B71607">
        <w:t xml:space="preserve"> </w:t>
      </w:r>
      <w:r>
        <w:t>as</w:t>
      </w:r>
      <w:r w:rsidRPr="00B71607">
        <w:t xml:space="preserve"> </w:t>
      </w:r>
      <w:r>
        <w:t>during</w:t>
      </w:r>
      <w:r w:rsidRPr="00B71607">
        <w:t xml:space="preserve"> </w:t>
      </w:r>
      <w:r>
        <w:t>a</w:t>
      </w:r>
      <w:r w:rsidRPr="00B71607">
        <w:t xml:space="preserve"> </w:t>
      </w:r>
      <w:r>
        <w:t>“true</w:t>
      </w:r>
      <w:r w:rsidRPr="00B71607">
        <w:t xml:space="preserve"> </w:t>
      </w:r>
      <w:r>
        <w:t>recovery”</w:t>
      </w:r>
      <w:r w:rsidRPr="00B71607">
        <w:t xml:space="preserve"> </w:t>
      </w:r>
      <w:r>
        <w:t>(as</w:t>
      </w:r>
      <w:r w:rsidRPr="00B71607">
        <w:t xml:space="preserve"> </w:t>
      </w:r>
      <w:r>
        <w:t>with</w:t>
      </w:r>
      <w:r w:rsidRPr="00B71607">
        <w:t xml:space="preserve"> </w:t>
      </w:r>
      <w:r>
        <w:t>the</w:t>
      </w:r>
      <w:r w:rsidRPr="00B71607">
        <w:t xml:space="preserve"> </w:t>
      </w:r>
      <w:r>
        <w:t>arrows</w:t>
      </w:r>
      <w:r w:rsidRPr="00B71607">
        <w:t xml:space="preserve"> </w:t>
      </w:r>
      <w:r>
        <w:t>starting</w:t>
      </w:r>
      <w:r w:rsidRPr="00B71607">
        <w:t xml:space="preserve"> </w:t>
      </w:r>
      <w:r>
        <w:t>at</w:t>
      </w:r>
      <w:r w:rsidRPr="00B71607">
        <w:t xml:space="preserve"> </w:t>
      </w:r>
      <w:r>
        <w:t>points</w:t>
      </w:r>
      <w:r w:rsidRPr="00B71607">
        <w:t xml:space="preserve"> </w:t>
      </w:r>
      <w:r w:rsidRPr="000043A1">
        <w:rPr>
          <w:b/>
        </w:rPr>
        <w:t>4</w:t>
      </w:r>
      <w:r w:rsidRPr="00B71607">
        <w:t xml:space="preserve"> </w:t>
      </w:r>
      <w:r>
        <w:t>and</w:t>
      </w:r>
      <w:r w:rsidRPr="00B71607">
        <w:t xml:space="preserve"> </w:t>
      </w:r>
      <w:r w:rsidRPr="000043A1">
        <w:rPr>
          <w:b/>
        </w:rPr>
        <w:t>1</w:t>
      </w:r>
      <w:r>
        <w:t>).</w:t>
      </w:r>
      <w:r w:rsidRPr="00B71607">
        <w:t xml:space="preserve"> </w:t>
      </w:r>
    </w:p>
    <w:p w:rsidR="000700FC" w:rsidRDefault="000700FC" w:rsidP="000700FC">
      <w:pPr>
        <w:pStyle w:val="Caption"/>
      </w:pPr>
      <w:bookmarkStart w:id="12" w:name="_Ref407686664"/>
      <w:r>
        <w:t>Figure</w:t>
      </w:r>
      <w:r w:rsidRPr="00B71607">
        <w:rPr>
          <w:b w:val="0"/>
          <w:sz w:val="24"/>
        </w:rPr>
        <w:t xml:space="preserve"> </w:t>
      </w:r>
      <w:r w:rsidR="00321870">
        <w:fldChar w:fldCharType="begin"/>
      </w:r>
      <w:r w:rsidR="00321870">
        <w:instrText xml:space="preserve"> SEQ Figure \* ARABIC </w:instrText>
      </w:r>
      <w:r w:rsidR="00321870">
        <w:fldChar w:fldCharType="separate"/>
      </w:r>
      <w:r w:rsidR="00292438">
        <w:rPr>
          <w:noProof/>
        </w:rPr>
        <w:t>1</w:t>
      </w:r>
      <w:r w:rsidR="00321870">
        <w:rPr>
          <w:noProof/>
        </w:rPr>
        <w:fldChar w:fldCharType="end"/>
      </w:r>
      <w:bookmarkEnd w:id="12"/>
      <w:r>
        <w:t>:</w:t>
      </w:r>
      <w:r w:rsidRPr="00B71607">
        <w:rPr>
          <w:b w:val="0"/>
          <w:sz w:val="24"/>
        </w:rPr>
        <w:t xml:space="preserve"> </w:t>
      </w:r>
      <w:r>
        <w:t>Two</w:t>
      </w:r>
      <w:r w:rsidRPr="00B71607">
        <w:rPr>
          <w:b w:val="0"/>
          <w:sz w:val="24"/>
        </w:rPr>
        <w:t xml:space="preserve"> </w:t>
      </w:r>
      <w:r>
        <w:t>Possible</w:t>
      </w:r>
      <w:r w:rsidRPr="00B71607">
        <w:rPr>
          <w:b w:val="0"/>
        </w:rPr>
        <w:t xml:space="preserve"> </w:t>
      </w:r>
      <w:r w:rsidRPr="00253688">
        <w:t>Warranted</w:t>
      </w:r>
      <w:r w:rsidRPr="00B71607">
        <w:rPr>
          <w:b w:val="0"/>
        </w:rPr>
        <w:t xml:space="preserve"> </w:t>
      </w:r>
      <w:r>
        <w:t>Growth</w:t>
      </w:r>
      <w:r w:rsidRPr="00B71607">
        <w:rPr>
          <w:b w:val="0"/>
        </w:rPr>
        <w:t xml:space="preserve"> </w:t>
      </w:r>
      <w:r>
        <w:t>Paths.</w:t>
      </w:r>
      <w:r w:rsidRPr="00B71607">
        <w:rPr>
          <w:b w:val="0"/>
          <w:sz w:val="24"/>
        </w:rPr>
        <w:t xml:space="preserve"> </w:t>
      </w:r>
    </w:p>
    <w:p w:rsidR="000700FC" w:rsidRPr="00673A1A" w:rsidRDefault="000700FC" w:rsidP="000700FC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2EFD7FE7" wp14:editId="4E207EE2">
            <wp:extent cx="3955529" cy="2429981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Rat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9" cy="24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ED" w:rsidRDefault="005D1D47" w:rsidP="006B3DED">
      <w:pPr>
        <w:spacing w:line="240" w:lineRule="auto"/>
      </w:pPr>
      <w:r>
        <w:t>Given the dropping of th</w:t>
      </w:r>
      <w:r w:rsidR="00DF0DB6">
        <w:t>e FE assumption</w:t>
      </w:r>
      <w:r>
        <w:t xml:space="preserve">, a </w:t>
      </w:r>
      <w:r w:rsidR="006B3DED">
        <w:t>key</w:t>
      </w:r>
      <w:r w:rsidR="00B71607" w:rsidRPr="00B71607">
        <w:t xml:space="preserve"> </w:t>
      </w:r>
      <w:r w:rsidR="006B3DED">
        <w:t>question</w:t>
      </w:r>
      <w:r w:rsidR="00B71607" w:rsidRPr="00B71607">
        <w:t xml:space="preserve"> </w:t>
      </w:r>
      <w:r w:rsidR="00B01327">
        <w:t xml:space="preserve">is the original Keynesian one, i.e., the </w:t>
      </w:r>
      <w:r w:rsidR="006B3DED">
        <w:t>determination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rPr>
          <w:b/>
          <w:i/>
        </w:rPr>
        <w:t>e</w:t>
      </w:r>
      <w:r w:rsidR="006B3DED">
        <w:t>.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replace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KSR</w:t>
      </w:r>
      <w:r w:rsidR="00B71607" w:rsidRPr="00B71607">
        <w:t xml:space="preserve"> </w:t>
      </w:r>
      <w:r w:rsidR="006B3DED">
        <w:t>analysis</w:t>
      </w:r>
      <w:r w:rsidR="00B71607" w:rsidRPr="00B71607">
        <w:t xml:space="preserve"> </w:t>
      </w:r>
      <w:r w:rsidR="006B3DED">
        <w:t>of</w:t>
      </w:r>
      <w:r w:rsidR="00B71607" w:rsidRPr="00B71607">
        <w:t xml:space="preserve"> </w:t>
      </w:r>
      <w:r w:rsidR="006B3DED">
        <w:t>Devine</w:t>
      </w:r>
      <w:r w:rsidR="00B71607" w:rsidRPr="00B71607">
        <w:t xml:space="preserve"> </w:t>
      </w:r>
      <w:r w:rsidR="006B3DED">
        <w:t>(2015),</w:t>
      </w:r>
      <w:r w:rsidR="00B71607" w:rsidRPr="00B71607">
        <w:t xml:space="preserve"> </w:t>
      </w:r>
      <w:r w:rsidR="006B3DED">
        <w:t>I</w:t>
      </w:r>
      <w:r w:rsidR="00B71607" w:rsidRPr="00B71607">
        <w:t xml:space="preserve"> </w:t>
      </w:r>
      <w:r w:rsidR="006B3DED">
        <w:t>follow</w:t>
      </w:r>
      <w:r w:rsidR="00B71607" w:rsidRPr="00B71607">
        <w:t xml:space="preserve"> </w:t>
      </w:r>
      <w:r w:rsidR="006B3DED">
        <w:t>Solow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9B151C">
        <w:t>d</w:t>
      </w:r>
      <w:r w:rsidR="009B151C">
        <w:t>e</w:t>
      </w:r>
      <w:r w:rsidR="009B151C">
        <w:t>scribe cases with</w:t>
      </w:r>
      <w:r w:rsidR="00B71607" w:rsidRPr="00B71607">
        <w:t xml:space="preserve"> </w:t>
      </w:r>
      <w:proofErr w:type="spellStart"/>
      <w:r w:rsidR="006B3DED">
        <w:rPr>
          <w:b/>
        </w:rPr>
        <w:t>g</w:t>
      </w:r>
      <w:r w:rsidR="006B3DED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6B3DED">
        <w:t>=</w:t>
      </w:r>
      <w:r w:rsidR="00B71607" w:rsidRPr="00B71607">
        <w:t xml:space="preserve"> </w:t>
      </w:r>
      <w:proofErr w:type="spellStart"/>
      <w:r w:rsidR="006B3DED">
        <w:rPr>
          <w:b/>
        </w:rPr>
        <w:t>g</w:t>
      </w:r>
      <w:r w:rsidR="006B3DED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6B3DED">
        <w:t>(as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fldChar w:fldCharType="begin"/>
      </w:r>
      <w:r w:rsidR="006B3DED">
        <w:instrText xml:space="preserve"> REF _Ref407686664 \h </w:instrText>
      </w:r>
      <w:r w:rsidR="006B3DED">
        <w:fldChar w:fldCharType="separate"/>
      </w:r>
      <w:r w:rsidR="00292438">
        <w:t>Figure</w:t>
      </w:r>
      <w:r w:rsidR="00292438" w:rsidRPr="00B71607">
        <w:t xml:space="preserve"> </w:t>
      </w:r>
      <w:r w:rsidR="00292438">
        <w:rPr>
          <w:noProof/>
        </w:rPr>
        <w:t>1</w:t>
      </w:r>
      <w:r w:rsidR="006B3DED">
        <w:fldChar w:fldCharType="end"/>
      </w:r>
      <w:r>
        <w:t xml:space="preserve">) with constant </w:t>
      </w:r>
      <w:r>
        <w:rPr>
          <w:b/>
          <w:i/>
        </w:rPr>
        <w:t>e</w:t>
      </w:r>
      <w:r>
        <w:t xml:space="preserve">. </w:t>
      </w:r>
      <w:r w:rsidR="00C56F42">
        <w:t>On this level</w:t>
      </w:r>
      <w:r w:rsidR="006B3DED">
        <w:t>,</w:t>
      </w:r>
      <w:r w:rsidR="00B71607" w:rsidRPr="00B71607">
        <w:t xml:space="preserve"> </w:t>
      </w:r>
      <w:r w:rsidR="006B3DED">
        <w:t>the</w:t>
      </w:r>
      <w:r w:rsidR="00B71607" w:rsidRPr="00B71607">
        <w:t xml:space="preserve"> </w:t>
      </w:r>
      <w:r w:rsidR="006B3DED">
        <w:t>model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basica</w:t>
      </w:r>
      <w:r w:rsidR="006B3DED">
        <w:t>l</w:t>
      </w:r>
      <w:r w:rsidR="006B3DED">
        <w:t>ly</w:t>
      </w:r>
      <w:r w:rsidR="00B71607" w:rsidRPr="00B71607">
        <w:t xml:space="preserve"> </w:t>
      </w:r>
      <w:r w:rsidR="006B3DED">
        <w:t>NC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nature.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fact,</w:t>
      </w:r>
      <w:r w:rsidR="00B71607" w:rsidRPr="00B71607">
        <w:t xml:space="preserve"> </w:t>
      </w:r>
      <w:r w:rsidR="006B3DED">
        <w:t>for</w:t>
      </w:r>
      <w:r w:rsidR="00B71607" w:rsidRPr="00B71607">
        <w:t xml:space="preserve"> </w:t>
      </w:r>
      <w:r w:rsidR="006B3DED">
        <w:t>argument’s</w:t>
      </w:r>
      <w:r w:rsidR="00B71607" w:rsidRPr="00B71607">
        <w:t xml:space="preserve"> </w:t>
      </w:r>
      <w:r w:rsidR="006B3DED">
        <w:t>sake,</w:t>
      </w:r>
      <w:r w:rsidR="00B71607" w:rsidRPr="00B71607">
        <w:t xml:space="preserve"> </w:t>
      </w:r>
      <w:r w:rsidR="006B3DED">
        <w:t>production</w:t>
      </w:r>
      <w:r w:rsidR="00B71607" w:rsidRPr="00B71607">
        <w:t xml:space="preserve"> </w:t>
      </w:r>
      <w:r w:rsidR="006B3DED">
        <w:t>is</w:t>
      </w:r>
      <w:r w:rsidR="00B71607" w:rsidRPr="00B71607">
        <w:t xml:space="preserve"> </w:t>
      </w:r>
      <w:r w:rsidR="006B3DED">
        <w:t>portrayed</w:t>
      </w:r>
      <w:r w:rsidR="00B71607" w:rsidRPr="00B71607">
        <w:t xml:space="preserve"> </w:t>
      </w:r>
      <w:r w:rsidR="006B3DED">
        <w:t>in</w:t>
      </w:r>
      <w:r w:rsidR="00B71607" w:rsidRPr="00B71607">
        <w:t xml:space="preserve"> </w:t>
      </w:r>
      <w:r w:rsidR="006B3DED">
        <w:t>an</w:t>
      </w:r>
      <w:r w:rsidR="00B71607" w:rsidRPr="00B71607">
        <w:t xml:space="preserve"> </w:t>
      </w:r>
      <w:r w:rsidR="006B3DED">
        <w:t>ultraorthodox</w:t>
      </w:r>
      <w:r w:rsidR="00B71607" w:rsidRPr="00B71607">
        <w:t xml:space="preserve"> </w:t>
      </w:r>
      <w:r w:rsidR="006B3DED">
        <w:t>way,</w:t>
      </w:r>
      <w:r w:rsidR="00B71607" w:rsidRPr="00B71607">
        <w:t xml:space="preserve"> </w:t>
      </w:r>
      <w:r w:rsidR="006B3DED">
        <w:t>i.e.,</w:t>
      </w:r>
      <w:r w:rsidR="00B71607" w:rsidRPr="00B71607">
        <w:t xml:space="preserve"> </w:t>
      </w:r>
      <w:r w:rsidR="006B3DED">
        <w:t>by</w:t>
      </w:r>
      <w:r w:rsidR="00B71607" w:rsidRPr="00B71607">
        <w:t xml:space="preserve"> </w:t>
      </w:r>
      <w:r w:rsidR="006B3DED">
        <w:t>an</w:t>
      </w:r>
      <w:r w:rsidR="00B71607" w:rsidRPr="00B71607">
        <w:t xml:space="preserve"> </w:t>
      </w:r>
      <w:r w:rsidR="006B3DED">
        <w:t>aggregate</w:t>
      </w:r>
      <w:r w:rsidR="00B71607" w:rsidRPr="00B71607">
        <w:t xml:space="preserve"> </w:t>
      </w:r>
      <w:r w:rsidR="006B3DED">
        <w:t>Cobb-Douglas</w:t>
      </w:r>
      <w:r w:rsidR="00B71607" w:rsidRPr="00B71607">
        <w:t xml:space="preserve"> </w:t>
      </w:r>
      <w:r w:rsidR="006B3DED">
        <w:t>production</w:t>
      </w:r>
      <w:r w:rsidR="00B71607" w:rsidRPr="00B71607">
        <w:t xml:space="preserve"> </w:t>
      </w:r>
      <w:r w:rsidR="006B3DED">
        <w:t>function</w:t>
      </w:r>
      <w:r w:rsidR="00B71607" w:rsidRPr="00B71607">
        <w:t xml:space="preserve"> </w:t>
      </w:r>
      <w:r w:rsidR="006B3DED">
        <w:t>with</w:t>
      </w:r>
      <w:r w:rsidR="00B71607" w:rsidRPr="00B71607">
        <w:t xml:space="preserve"> </w:t>
      </w:r>
      <w:r w:rsidR="006B3DED">
        <w:t>constant</w:t>
      </w:r>
      <w:r w:rsidR="00B71607" w:rsidRPr="00B71607">
        <w:t xml:space="preserve"> </w:t>
      </w:r>
      <w:r w:rsidR="006B3DED">
        <w:t>returns</w:t>
      </w:r>
      <w:r w:rsidR="00B71607" w:rsidRPr="00B71607">
        <w:t xml:space="preserve"> </w:t>
      </w:r>
      <w:r w:rsidR="006B3DED">
        <w:t>to</w:t>
      </w:r>
      <w:r w:rsidR="00B71607" w:rsidRPr="00B71607">
        <w:t xml:space="preserve"> </w:t>
      </w:r>
      <w:r w:rsidR="006B3DED">
        <w:t>scale.</w:t>
      </w:r>
      <w:r w:rsidR="00B71607" w:rsidRPr="00B71607">
        <w:t xml:space="preserve"> </w:t>
      </w:r>
    </w:p>
    <w:p w:rsidR="006B3DED" w:rsidRPr="00F0425E" w:rsidRDefault="006B3DED" w:rsidP="006B3DED">
      <w:pPr>
        <w:spacing w:line="240" w:lineRule="auto"/>
      </w:pPr>
      <w:r>
        <w:t>Unlike</w:t>
      </w:r>
      <w:r w:rsidR="00B71607" w:rsidRPr="00B71607">
        <w:t xml:space="preserve"> </w:t>
      </w:r>
      <w:r>
        <w:t>Solow,</w:t>
      </w:r>
      <w:r w:rsidR="00B71607" w:rsidRPr="00B71607">
        <w:t xml:space="preserve"> </w:t>
      </w:r>
      <w:r>
        <w:t>however,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do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assume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actual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determined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warranted</w:t>
      </w:r>
      <w:r w:rsidR="00B71607" w:rsidRPr="00B71607">
        <w:t xml:space="preserve"> </w:t>
      </w:r>
      <w:r>
        <w:t>rate.</w:t>
      </w:r>
      <w:r w:rsidR="00B71607" w:rsidRPr="00B71607">
        <w:t xml:space="preserve"> </w:t>
      </w:r>
      <w:r>
        <w:t>Instead,</w:t>
      </w:r>
      <w:r w:rsidR="00C56F42">
        <w:t xml:space="preserve"> causation </w:t>
      </w:r>
      <w:r w:rsidR="00903368">
        <w:t xml:space="preserve">between </w:t>
      </w:r>
      <w:r w:rsidR="00903368">
        <w:rPr>
          <w:b/>
        </w:rPr>
        <w:t>g</w:t>
      </w:r>
      <w:r w:rsidR="00903368">
        <w:t xml:space="preserve"> and </w:t>
      </w:r>
      <w:proofErr w:type="spellStart"/>
      <w:r w:rsidR="00903368">
        <w:rPr>
          <w:b/>
        </w:rPr>
        <w:t>g</w:t>
      </w:r>
      <w:r w:rsidR="00903368">
        <w:rPr>
          <w:b/>
          <w:smallCaps/>
          <w:vertAlign w:val="subscript"/>
        </w:rPr>
        <w:t>w</w:t>
      </w:r>
      <w:proofErr w:type="spellEnd"/>
      <w:r w:rsidR="00903368">
        <w:t xml:space="preserve"> </w:t>
      </w:r>
      <w:r w:rsidR="00C56F42">
        <w:t>goes</w:t>
      </w:r>
      <w:r w:rsidR="00903368">
        <w:t xml:space="preserve"> both ways. First,</w:t>
      </w:r>
      <w:r w:rsidR="00C56F42">
        <w:t xml:space="preserve"> </w:t>
      </w:r>
      <w:r>
        <w:rPr>
          <w:b/>
        </w:rPr>
        <w:t>g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explicitly</w:t>
      </w:r>
      <w:r w:rsidR="00B71607" w:rsidRPr="00B71607">
        <w:t xml:space="preserve"> </w:t>
      </w:r>
      <w:r>
        <w:t>driven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 w:rsidR="00C56F42">
        <w:t xml:space="preserve">which </w:t>
      </w:r>
      <w:r>
        <w:t>is</w:t>
      </w:r>
      <w:r w:rsidR="00B71607" w:rsidRPr="00B71607">
        <w:t xml:space="preserve"> </w:t>
      </w:r>
      <w:r>
        <w:t>independent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saving.</w:t>
      </w:r>
      <w:r w:rsidR="003310F5">
        <w:t xml:space="preserve"> Using an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 w:rsidR="00C56F42">
        <w:t>function</w:t>
      </w:r>
      <w:r w:rsidR="00B71607" w:rsidRPr="00B71607">
        <w:t xml:space="preserve"> </w:t>
      </w:r>
      <w:r>
        <w:t>more</w:t>
      </w:r>
      <w:r w:rsidR="00B71607" w:rsidRPr="00B71607">
        <w:t xml:space="preserve"> </w:t>
      </w:r>
      <w:r>
        <w:t>complicated</w:t>
      </w:r>
      <w:r w:rsidR="00B71607" w:rsidRPr="00B71607">
        <w:t xml:space="preserve"> </w:t>
      </w:r>
      <w:r>
        <w:t>than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simple</w:t>
      </w:r>
      <w:r w:rsidR="00B71607" w:rsidRPr="00B71607">
        <w:t xml:space="preserve"> </w:t>
      </w:r>
      <w:r>
        <w:t>accelerator</w:t>
      </w:r>
      <w:r w:rsidR="00B71607" w:rsidRPr="00B71607">
        <w:t xml:space="preserve"> </w:t>
      </w:r>
      <w:r>
        <w:t>relation</w:t>
      </w:r>
      <w:r w:rsidR="00956517">
        <w:t>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 w:rsidRPr="00D4213A">
        <w:rPr>
          <w:noProof/>
        </w:rPr>
        <w:t>Harrod</w:t>
      </w:r>
      <w:r w:rsidR="00B71607" w:rsidRPr="00B71607">
        <w:t xml:space="preserve"> </w:t>
      </w:r>
      <w:r>
        <w:t>assumed</w:t>
      </w:r>
      <w:r w:rsidR="00B71607" w:rsidRPr="00B71607">
        <w:t xml:space="preserve"> </w:t>
      </w:r>
      <w:r w:rsidR="00956517">
        <w:t>and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present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appendix</w:t>
      </w:r>
      <w:r w:rsidR="003310F5">
        <w:t xml:space="preserve">, </w:t>
      </w:r>
      <w:r>
        <w:t>investment</w:t>
      </w:r>
      <w:r w:rsidR="00B71607" w:rsidRPr="00B71607">
        <w:t xml:space="preserve"> </w:t>
      </w:r>
      <w:r w:rsidR="003310F5">
        <w:t xml:space="preserve">is </w:t>
      </w:r>
      <w:r>
        <w:t>determined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expected</w:t>
      </w:r>
      <w:r w:rsidR="00B71607" w:rsidRPr="00B71607">
        <w:t xml:space="preserve"> </w:t>
      </w:r>
      <w:r>
        <w:t>profitability</w:t>
      </w:r>
      <w:r w:rsidR="003310F5">
        <w:t>. Thus</w:t>
      </w:r>
      <w:r>
        <w:t>,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rPr>
          <w:b/>
        </w:rPr>
        <w:t>g</w:t>
      </w:r>
      <w:r w:rsidR="00B71607" w:rsidRPr="00B71607">
        <w:t xml:space="preserve"> </w:t>
      </w:r>
      <w:r>
        <w:t>vary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rPr>
          <w:b/>
          <w:i/>
        </w:rPr>
        <w:t>y</w:t>
      </w:r>
      <w:r w:rsidR="00B71607" w:rsidRPr="00B71607">
        <w:t xml:space="preserve"> </w:t>
      </w:r>
      <w:r>
        <w:t>(among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>
        <w:t>things).</w:t>
      </w:r>
      <w:r w:rsidR="00B71607" w:rsidRPr="00B71607">
        <w:t xml:space="preserve"> </w:t>
      </w:r>
      <w:r>
        <w:t>Going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>
        <w:t>way,</w:t>
      </w:r>
      <w:r w:rsidR="00B71607" w:rsidRPr="00B71607">
        <w:t xml:space="preserve"> </w:t>
      </w:r>
      <w:r>
        <w:rPr>
          <w:b/>
          <w:i/>
        </w:rPr>
        <w:t>e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rPr>
          <w:b/>
          <w:i/>
        </w:rPr>
        <w:t>y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assumed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move</w:t>
      </w:r>
      <w:r w:rsidR="00B71607" w:rsidRPr="00B71607">
        <w:t xml:space="preserve"> </w:t>
      </w:r>
      <w:r>
        <w:t>together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directly</w:t>
      </w:r>
      <w:r w:rsidR="00B71607" w:rsidRPr="00B71607">
        <w:t xml:space="preserve"> </w:t>
      </w:r>
      <w:r>
        <w:t>determined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(the</w:t>
      </w:r>
      <w:r w:rsidR="00B71607" w:rsidRPr="00B71607">
        <w:t xml:space="preserve"> </w:t>
      </w:r>
      <w:r>
        <w:t>actual</w:t>
      </w:r>
      <w:r w:rsidR="00B71607" w:rsidRPr="00B71607">
        <w:t xml:space="preserve"> </w:t>
      </w:r>
      <w:r>
        <w:rPr>
          <w:b/>
        </w:rPr>
        <w:t>g</w:t>
      </w:r>
      <w:r>
        <w:t>).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two-way</w:t>
      </w:r>
      <w:r w:rsidR="00B71607" w:rsidRPr="00B71607">
        <w:t xml:space="preserve"> </w:t>
      </w:r>
      <w:r>
        <w:t>interaction</w:t>
      </w:r>
      <w:r w:rsidR="00B71607" w:rsidRPr="00B71607">
        <w:t xml:space="preserve"> </w:t>
      </w:r>
      <w:r>
        <w:t>b</w:t>
      </w:r>
      <w:r>
        <w:t>e</w:t>
      </w:r>
      <w:r>
        <w:t>tween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rPr>
          <w:b/>
        </w:rPr>
        <w:t>g</w:t>
      </w:r>
      <w:r w:rsidR="00B71607" w:rsidRPr="00B71607">
        <w:t xml:space="preserve"> </w:t>
      </w:r>
      <w:r w:rsidRPr="009C38F2">
        <w:t>on</w:t>
      </w:r>
      <w:r w:rsidR="00B71607" w:rsidRPr="00B71607">
        <w:t xml:space="preserve"> </w:t>
      </w:r>
      <w:r w:rsidRPr="009C38F2">
        <w:t>the</w:t>
      </w:r>
      <w:r w:rsidR="00B71607" w:rsidRPr="00B71607">
        <w:t xml:space="preserve"> </w:t>
      </w:r>
      <w:r w:rsidRPr="009C38F2">
        <w:t>one</w:t>
      </w:r>
      <w:r w:rsidR="00B71607" w:rsidRPr="00B71607">
        <w:t xml:space="preserve"> </w:t>
      </w:r>
      <w:r w:rsidRPr="009C38F2">
        <w:t>hand,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two</w:t>
      </w:r>
      <w:r w:rsidR="00B71607" w:rsidRPr="00B71607">
        <w:t xml:space="preserve"> </w:t>
      </w:r>
      <w:r>
        <w:t>utilization</w:t>
      </w:r>
      <w:r w:rsidR="00B71607" w:rsidRPr="00B71607">
        <w:t xml:space="preserve"> </w:t>
      </w:r>
      <w:r>
        <w:t>rates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>
        <w:t>implies</w:t>
      </w:r>
      <w:r w:rsidR="00B71607" w:rsidRPr="00B71607">
        <w:t xml:space="preserve"> </w:t>
      </w:r>
      <w:r>
        <w:t>equilibrium,</w:t>
      </w:r>
      <w:r w:rsidR="00B71607" w:rsidRPr="00B71607">
        <w:t xml:space="preserve"> </w:t>
      </w:r>
      <w:r>
        <w:t>determining</w:t>
      </w:r>
      <w:r w:rsidR="00B71607" w:rsidRPr="00B71607">
        <w:t xml:space="preserve"> </w:t>
      </w:r>
      <w:r>
        <w:t>both</w:t>
      </w:r>
      <w:r w:rsidR="00B71607" w:rsidRPr="00B71607">
        <w:t xml:space="preserve"> </w:t>
      </w:r>
      <w:r>
        <w:rPr>
          <w:b/>
          <w:i/>
        </w:rPr>
        <w:t>y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rPr>
          <w:b/>
        </w:rPr>
        <w:t>g</w:t>
      </w:r>
      <w:r>
        <w:t>.</w:t>
      </w:r>
      <w:r w:rsidR="00B71607" w:rsidRPr="00B71607">
        <w:t xml:space="preserve"> </w:t>
      </w:r>
    </w:p>
    <w:p w:rsidR="006B3DED" w:rsidRPr="00BC2D18" w:rsidRDefault="006B3DED" w:rsidP="006B3DED">
      <w:pPr>
        <w:pStyle w:val="H2"/>
        <w:outlineLvl w:val="0"/>
        <w:rPr>
          <w:sz w:val="28"/>
        </w:rPr>
      </w:pPr>
      <w:r w:rsidRPr="00D4213A">
        <w:rPr>
          <w:noProof/>
          <w:sz w:val="28"/>
        </w:rPr>
        <w:t>Harrod</w:t>
      </w:r>
      <w:r w:rsidR="00B71607" w:rsidRPr="00B71607">
        <w:rPr>
          <w:sz w:val="28"/>
        </w:rPr>
        <w:t xml:space="preserve"> </w:t>
      </w:r>
      <w:r>
        <w:rPr>
          <w:i/>
          <w:sz w:val="28"/>
        </w:rPr>
        <w:t>vs.</w:t>
      </w:r>
      <w:r w:rsidR="00B71607" w:rsidRPr="00B71607">
        <w:rPr>
          <w:sz w:val="28"/>
        </w:rPr>
        <w:t xml:space="preserve"> </w:t>
      </w:r>
      <w:r w:rsidRPr="00BC2D18">
        <w:rPr>
          <w:sz w:val="28"/>
        </w:rPr>
        <w:t>Solow,</w:t>
      </w:r>
      <w:r w:rsidR="00B71607" w:rsidRPr="00B71607">
        <w:rPr>
          <w:sz w:val="28"/>
        </w:rPr>
        <w:t xml:space="preserve"> </w:t>
      </w:r>
      <w:r w:rsidRPr="00BC2D18">
        <w:rPr>
          <w:sz w:val="28"/>
        </w:rPr>
        <w:t>an</w:t>
      </w:r>
      <w:r w:rsidR="00B71607" w:rsidRPr="00B71607">
        <w:rPr>
          <w:sz w:val="28"/>
        </w:rPr>
        <w:t xml:space="preserve"> </w:t>
      </w:r>
      <w:r w:rsidRPr="00BC2D18">
        <w:rPr>
          <w:sz w:val="28"/>
        </w:rPr>
        <w:t>Interpretation.</w:t>
      </w:r>
    </w:p>
    <w:p w:rsidR="006B3DED" w:rsidRDefault="006B3DED" w:rsidP="006B3DED">
      <w:pPr>
        <w:spacing w:line="240" w:lineRule="auto"/>
      </w:pPr>
      <w:r>
        <w:t>As</w:t>
      </w:r>
      <w:r w:rsidR="00B71607" w:rsidRPr="00B71607">
        <w:t xml:space="preserve"> </w:t>
      </w:r>
      <w:r>
        <w:t>Hicks</w:t>
      </w:r>
      <w:r w:rsidR="00B71607" w:rsidRPr="00B71607">
        <w:t xml:space="preserve"> </w:t>
      </w:r>
      <w:r>
        <w:t>(1949)</w:t>
      </w:r>
      <w:r w:rsidR="00B71607" w:rsidRPr="00B71607">
        <w:t xml:space="preserve"> </w:t>
      </w:r>
      <w:r>
        <w:t>notes,</w:t>
      </w:r>
      <w:r w:rsidR="00B71607" w:rsidRPr="00B71607">
        <w:t xml:space="preserve"> </w:t>
      </w:r>
      <w:r>
        <w:t>“no</w:t>
      </w:r>
      <w:r w:rsidR="00B71607" w:rsidRPr="00B71607">
        <w:t xml:space="preserve"> </w:t>
      </w:r>
      <w:r>
        <w:t>one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>
        <w:t>study</w:t>
      </w:r>
      <w:r w:rsidR="00B71607" w:rsidRPr="00B71607">
        <w:t xml:space="preserve"> </w:t>
      </w:r>
      <w:r>
        <w:t>Mr.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work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t>all</w:t>
      </w:r>
      <w:r w:rsidR="00B71607" w:rsidRPr="00B71607">
        <w:t xml:space="preserve"> </w:t>
      </w:r>
      <w:r>
        <w:t>deeply</w:t>
      </w:r>
      <w:r w:rsidR="00B71607" w:rsidRPr="00B71607">
        <w:t xml:space="preserve"> </w:t>
      </w:r>
      <w:r>
        <w:t>without</w:t>
      </w:r>
      <w:r w:rsidR="00B71607" w:rsidRPr="00B71607">
        <w:t xml:space="preserve"> </w:t>
      </w:r>
      <w:r>
        <w:t>feeling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results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really</w:t>
      </w:r>
      <w:r w:rsidR="00B71607" w:rsidRPr="00B71607">
        <w:t xml:space="preserve"> </w:t>
      </w:r>
      <w:r>
        <w:t>great</w:t>
      </w:r>
      <w:r w:rsidR="00B71607" w:rsidRPr="00B71607">
        <w:t xml:space="preserve"> </w:t>
      </w:r>
      <w:r>
        <w:t>significance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just</w:t>
      </w:r>
      <w:r w:rsidR="00B71607" w:rsidRPr="00B71607">
        <w:t xml:space="preserve"> </w:t>
      </w:r>
      <w:r>
        <w:t>round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corner.”</w:t>
      </w:r>
      <w:r w:rsidR="00B71607" w:rsidRPr="00B71607">
        <w:t xml:space="preserve"> </w:t>
      </w:r>
      <w:r>
        <w:t>Like</w:t>
      </w:r>
      <w:r w:rsidR="00B71607" w:rsidRPr="00B71607">
        <w:t xml:space="preserve"> </w:t>
      </w:r>
      <w:r>
        <w:t>him,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follow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feeling.</w:t>
      </w:r>
      <w:r w:rsidR="00B71607" w:rsidRPr="00B71607">
        <w:t xml:space="preserve"> </w:t>
      </w:r>
      <w:r w:rsidR="0075144A">
        <w:t xml:space="preserve">However, </w:t>
      </w:r>
      <w:r>
        <w:t>Hicks</w:t>
      </w:r>
      <w:r w:rsidR="00B71607" w:rsidRPr="00B71607">
        <w:t xml:space="preserve"> </w:t>
      </w:r>
      <w:r w:rsidR="008631B7">
        <w:t>erred when equating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 w:rsidR="0003481B">
        <w:t>work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accelerator/multiplier</w:t>
      </w:r>
      <w:r w:rsidR="00B71607" w:rsidRPr="00B71607">
        <w:t xml:space="preserve"> </w:t>
      </w:r>
      <w:r>
        <w:lastRenderedPageBreak/>
        <w:t>models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type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Samuelson</w:t>
      </w:r>
      <w:r w:rsidR="00B71607" w:rsidRPr="00B71607">
        <w:t xml:space="preserve"> </w:t>
      </w:r>
      <w:r>
        <w:t>(1939)</w:t>
      </w:r>
      <w:r w:rsidR="00B71607" w:rsidRPr="00B71607">
        <w:t xml:space="preserve"> </w:t>
      </w:r>
      <w:r>
        <w:t>made</w:t>
      </w:r>
      <w:r w:rsidR="00B71607" w:rsidRPr="00B71607">
        <w:t xml:space="preserve"> </w:t>
      </w:r>
      <w:r>
        <w:t>famous.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problem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approach</w:t>
      </w:r>
      <w:r w:rsidR="00B71607" w:rsidRPr="00B71607">
        <w:t xml:space="preserve"> </w:t>
      </w:r>
      <w:r>
        <w:t>abolishes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ignores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distinction</w:t>
      </w:r>
      <w:r w:rsidR="00B71607" w:rsidRPr="00B71607">
        <w:t xml:space="preserve"> </w:t>
      </w:r>
      <w:r>
        <w:t>between</w:t>
      </w:r>
      <w:r w:rsidR="00B71607" w:rsidRPr="00B71607">
        <w:t xml:space="preserve"> </w:t>
      </w:r>
      <w:r>
        <w:t>warranted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actual</w:t>
      </w:r>
      <w:r w:rsidR="00B71607" w:rsidRPr="00B71607">
        <w:t xml:space="preserve"> </w:t>
      </w:r>
      <w:r>
        <w:t>growth.</w:t>
      </w:r>
      <w:r w:rsidR="00B71607" w:rsidRPr="00B71607">
        <w:t xml:space="preserve"> </w:t>
      </w:r>
    </w:p>
    <w:p w:rsidR="006B3DED" w:rsidRDefault="006B3DED" w:rsidP="006B3DED">
      <w:pPr>
        <w:spacing w:line="240" w:lineRule="auto"/>
      </w:pPr>
      <w:r>
        <w:t>Unlike</w:t>
      </w:r>
      <w:r w:rsidR="00B71607" w:rsidRPr="00B71607">
        <w:t xml:space="preserve"> </w:t>
      </w:r>
      <w:r>
        <w:t>Hicks,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aim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ferret</w:t>
      </w:r>
      <w:r w:rsidR="00B71607" w:rsidRPr="00B71607">
        <w:t xml:space="preserve"> </w:t>
      </w:r>
      <w:r>
        <w:t>out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exact</w:t>
      </w:r>
      <w:r w:rsidR="00B71607" w:rsidRPr="00B71607">
        <w:t xml:space="preserve"> </w:t>
      </w:r>
      <w:r>
        <w:t>meanings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key</w:t>
      </w:r>
      <w:r w:rsidR="00B71607" w:rsidRPr="00B71607">
        <w:t xml:space="preserve"> </w:t>
      </w:r>
      <w:r>
        <w:t>terms,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“warranted”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 w:rsidR="0003481B">
        <w:t>“</w:t>
      </w:r>
      <w:r>
        <w:t>knife</w:t>
      </w:r>
      <w:r w:rsidR="00B71607" w:rsidRPr="00B71607">
        <w:t xml:space="preserve"> </w:t>
      </w:r>
      <w:r>
        <w:t>edge</w:t>
      </w:r>
      <w:r w:rsidR="0003481B">
        <w:t>”</w:t>
      </w:r>
      <w:r w:rsidR="00D74A36">
        <w:t xml:space="preserve"> in Harrod</w:t>
      </w:r>
      <w:r>
        <w:t>.</w:t>
      </w:r>
      <w:r w:rsidR="00B71607" w:rsidRPr="00B71607">
        <w:t xml:space="preserve"> </w:t>
      </w:r>
      <w:r>
        <w:t>Like</w:t>
      </w:r>
      <w:r w:rsidR="00D74A36">
        <w:t xml:space="preserve"> the latter</w:t>
      </w:r>
      <w:r>
        <w:t>,</w:t>
      </w:r>
      <w:r w:rsidR="00B71607" w:rsidRPr="00B71607">
        <w:t xml:space="preserve"> </w:t>
      </w:r>
      <w:r>
        <w:t>I</w:t>
      </w:r>
      <w:r w:rsidR="00B71607" w:rsidRPr="00B71607">
        <w:t xml:space="preserve"> </w:t>
      </w:r>
      <w:r>
        <w:t>abstract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lags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accelerator/multiplier</w:t>
      </w:r>
      <w:r w:rsidR="00B71607" w:rsidRPr="00B71607">
        <w:t xml:space="preserve"> </w:t>
      </w:r>
      <w:r>
        <w:t>r</w:t>
      </w:r>
      <w:r>
        <w:t>e</w:t>
      </w:r>
      <w:r>
        <w:t>lationship</w:t>
      </w:r>
      <w:r w:rsidR="00B71607" w:rsidRPr="00B71607">
        <w:t xml:space="preserve"> </w:t>
      </w:r>
      <w:r>
        <w:t>(even</w:t>
      </w:r>
      <w:r w:rsidR="00B71607" w:rsidRPr="00B71607">
        <w:t xml:space="preserve"> </w:t>
      </w:r>
      <w:r>
        <w:t>though</w:t>
      </w:r>
      <w:r w:rsidR="00B71607" w:rsidRPr="00B71607">
        <w:t xml:space="preserve"> </w:t>
      </w:r>
      <w:r>
        <w:t>they</w:t>
      </w:r>
      <w:r w:rsidR="00B71607" w:rsidRPr="00B71607">
        <w:t xml:space="preserve"> </w:t>
      </w:r>
      <w:r w:rsidR="0003481B">
        <w:t xml:space="preserve">clearly </w:t>
      </w:r>
      <w:r>
        <w:t>are</w:t>
      </w:r>
      <w:r w:rsidR="00B71607" w:rsidRPr="00B71607">
        <w:t xml:space="preserve"> </w:t>
      </w:r>
      <w:r>
        <w:t>empirically</w:t>
      </w:r>
      <w:r w:rsidR="00B71607" w:rsidRPr="00B71607">
        <w:t xml:space="preserve"> </w:t>
      </w:r>
      <w:r>
        <w:t>important).</w:t>
      </w:r>
      <w:r w:rsidR="0003481B">
        <w:t xml:space="preserve"> In my view (as for Harrod)</w:t>
      </w:r>
      <w:r w:rsidR="008D6A77">
        <w:t>, l</w:t>
      </w:r>
      <w:r>
        <w:t>ags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part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 w:rsidRPr="005F6DEB">
        <w:rPr>
          <w:i/>
        </w:rPr>
        <w:t>un</w:t>
      </w:r>
      <w:r>
        <w:t>warranted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thus</w:t>
      </w:r>
      <w:r w:rsidR="00B71607" w:rsidRPr="00B71607">
        <w:t xml:space="preserve"> </w:t>
      </w:r>
      <w:r>
        <w:t>mostly</w:t>
      </w:r>
      <w:r w:rsidR="00B71607" w:rsidRPr="00B71607">
        <w:t xml:space="preserve"> </w:t>
      </w:r>
      <w:r>
        <w:t>outside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analysis.</w:t>
      </w:r>
    </w:p>
    <w:p w:rsidR="008631B7" w:rsidRDefault="003E7379" w:rsidP="003E7379">
      <w:pPr>
        <w:spacing w:line="240" w:lineRule="auto"/>
      </w:pPr>
      <w:r>
        <w:t>As</w:t>
      </w:r>
      <w:r w:rsidR="00B71607" w:rsidRPr="00B71607">
        <w:t xml:space="preserve"> </w:t>
      </w:r>
      <w:r>
        <w:t>Hoover</w:t>
      </w:r>
      <w:r w:rsidR="00B71607" w:rsidRPr="00B71607">
        <w:t xml:space="preserve"> </w:t>
      </w:r>
      <w:r>
        <w:t>(2008)</w:t>
      </w:r>
      <w:r w:rsidR="00B71607" w:rsidRPr="00B71607">
        <w:t xml:space="preserve"> </w:t>
      </w:r>
      <w:r>
        <w:t>points</w:t>
      </w:r>
      <w:r w:rsidR="00B71607" w:rsidRPr="00B71607">
        <w:t xml:space="preserve"> </w:t>
      </w:r>
      <w:r>
        <w:t>out,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main</w:t>
      </w:r>
      <w:r w:rsidR="00B71607" w:rsidRPr="00B71607">
        <w:t xml:space="preserve"> </w:t>
      </w:r>
      <w:r>
        <w:t>question</w:t>
      </w:r>
      <w:r w:rsidR="00B71607" w:rsidRPr="00B71607">
        <w:t xml:space="preserve"> </w:t>
      </w:r>
      <w:r>
        <w:t>differed</w:t>
      </w:r>
      <w:r w:rsidR="00B71607" w:rsidRPr="00B71607">
        <w:t xml:space="preserve"> </w:t>
      </w:r>
      <w:r>
        <w:t>drastically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Solow</w:t>
      </w:r>
      <w:r w:rsidR="00070F6A">
        <w:t xml:space="preserve"> (see also </w:t>
      </w:r>
      <w:r w:rsidR="00070F6A">
        <w:t>Sen,</w:t>
      </w:r>
      <w:r w:rsidR="00070F6A" w:rsidRPr="00B71607">
        <w:t xml:space="preserve"> </w:t>
      </w:r>
      <w:r w:rsidR="00070F6A">
        <w:t>1970)</w:t>
      </w:r>
      <w:r>
        <w:t>.</w:t>
      </w:r>
      <w:r w:rsidR="00B71607" w:rsidRPr="00B71607">
        <w:t xml:space="preserve"> </w:t>
      </w:r>
      <w:r w:rsidR="0003481B">
        <w:t>This</w:t>
      </w:r>
      <w:r w:rsidR="00B71607" w:rsidRPr="00B71607">
        <w:t xml:space="preserve"> </w:t>
      </w:r>
      <w:r>
        <w:t>concerned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unstable</w:t>
      </w:r>
      <w:r w:rsidR="00B71607" w:rsidRPr="00B71607">
        <w:t xml:space="preserve"> </w:t>
      </w:r>
      <w:r>
        <w:t>nature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moving</w:t>
      </w:r>
      <w:r w:rsidR="00B71607" w:rsidRPr="00B71607">
        <w:t xml:space="preserve"> </w:t>
      </w:r>
      <w:r>
        <w:t>equilibrium</w:t>
      </w:r>
      <w:r w:rsidR="00B71607" w:rsidRPr="00B71607">
        <w:t xml:space="preserve"> </w:t>
      </w:r>
      <w:r>
        <w:t>where</w:t>
      </w:r>
      <w:r w:rsidR="00B71607" w:rsidRPr="00B71607">
        <w:t xml:space="preserve"> </w:t>
      </w:r>
      <w:r>
        <w:rPr>
          <w:b/>
        </w:rPr>
        <w:t>g</w:t>
      </w:r>
      <w:r w:rsidR="00B71607" w:rsidRPr="00B71607">
        <w:t xml:space="preserve"> </w:t>
      </w:r>
      <w:r w:rsidRPr="00150873">
        <w:t>=</w:t>
      </w:r>
      <w:r w:rsidR="00B71607" w:rsidRPr="00B71607">
        <w:t xml:space="preserve"> </w:t>
      </w:r>
      <w:proofErr w:type="spellStart"/>
      <w:r>
        <w:rPr>
          <w:b/>
        </w:rPr>
        <w:t>g</w:t>
      </w:r>
      <w:r w:rsidRPr="00AF3759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>
        <w:t>while</w:t>
      </w:r>
      <w:r w:rsidR="00B71607" w:rsidRPr="00B71607">
        <w:t xml:space="preserve"> </w:t>
      </w:r>
      <w:r>
        <w:t>for</w:t>
      </w:r>
      <w:r w:rsidR="00B71607" w:rsidRPr="00B71607">
        <w:t xml:space="preserve"> </w:t>
      </w:r>
      <w:r w:rsidR="00346D68">
        <w:t>Solow,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focus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relationship</w:t>
      </w:r>
      <w:r w:rsidR="00B71607" w:rsidRPr="00B71607">
        <w:t xml:space="preserve"> </w:t>
      </w:r>
      <w:r>
        <w:t>between</w:t>
      </w:r>
      <w:r w:rsidR="00B71607" w:rsidRPr="00B71607">
        <w:t xml:space="preserve"> </w:t>
      </w:r>
      <w:r>
        <w:t>an</w:t>
      </w:r>
      <w:r w:rsidR="00B71607" w:rsidRPr="00B71607">
        <w:t xml:space="preserve"> </w:t>
      </w:r>
      <w:r>
        <w:t>assumed-to-be</w:t>
      </w:r>
      <w:r w:rsidR="00B71607" w:rsidRPr="00B71607">
        <w:t xml:space="preserve"> </w:t>
      </w:r>
      <w:r>
        <w:t>stable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path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rPr>
          <w:b/>
        </w:rPr>
        <w:t>g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8C0C36">
        <w:t xml:space="preserve">on the one hand </w:t>
      </w:r>
      <w:r>
        <w:t>and</w:t>
      </w:r>
      <w:r w:rsidR="00B71607" w:rsidRPr="00B71607">
        <w:t xml:space="preserve">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f</w:t>
      </w:r>
      <w:proofErr w:type="spellEnd"/>
      <w:r w:rsidR="008C0C36">
        <w:t xml:space="preserve"> on the other</w:t>
      </w:r>
      <w:r>
        <w:t>.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is,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>
        <w:t>Solow</w:t>
      </w:r>
      <w:r w:rsidR="00BF71BA">
        <w:t xml:space="preserve"> described</w:t>
      </w:r>
      <w:r w:rsidR="00B71607" w:rsidRPr="00B71607">
        <w:t xml:space="preserve"> </w:t>
      </w:r>
      <w:r>
        <w:t>what</w:t>
      </w:r>
      <w:r w:rsidR="00B71607" w:rsidRPr="00B71607">
        <w:t xml:space="preserve"> </w:t>
      </w:r>
      <w:r>
        <w:t>happens</w:t>
      </w:r>
      <w:r w:rsidR="00B71607" w:rsidRPr="00B71607">
        <w:t xml:space="preserve"> </w:t>
      </w:r>
      <w:r>
        <w:t>when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economy</w:t>
      </w:r>
      <w:r w:rsidR="00B71607" w:rsidRPr="00B71607">
        <w:t xml:space="preserve"> </w:t>
      </w:r>
      <w:r>
        <w:t>stays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t>FE</w:t>
      </w:r>
      <w:r w:rsidRPr="00052CDC">
        <w:t>,</w:t>
      </w:r>
      <w:r w:rsidR="00B71607" w:rsidRPr="00B71607">
        <w:t xml:space="preserve"> </w:t>
      </w:r>
      <w:r w:rsidRPr="00052CDC">
        <w:t>m</w:t>
      </w:r>
      <w:r>
        <w:t>ost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 w:rsidRPr="00D4213A">
        <w:rPr>
          <w:noProof/>
        </w:rPr>
        <w:t>Harrod’s</w:t>
      </w:r>
      <w:r w:rsidR="00B71607" w:rsidRPr="00B71607">
        <w:t xml:space="preserve"> </w:t>
      </w:r>
      <w:r>
        <w:t>analysis</w:t>
      </w:r>
      <w:r w:rsidR="00B71607" w:rsidRPr="00B71607">
        <w:t xml:space="preserve"> </w:t>
      </w:r>
      <w:r w:rsidR="00BF71BA">
        <w:t xml:space="preserve">concerns </w:t>
      </w:r>
      <w:r>
        <w:t>a</w:t>
      </w:r>
      <w:r w:rsidR="00B71607" w:rsidRPr="00B71607">
        <w:t xml:space="preserve"> </w:t>
      </w:r>
      <w:r>
        <w:t>world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which</w:t>
      </w:r>
      <w:r w:rsidR="00B71607" w:rsidRPr="00B71607">
        <w:t xml:space="preserve"> </w:t>
      </w:r>
      <w:r>
        <w:rPr>
          <w:b/>
        </w:rPr>
        <w:t>g</w:t>
      </w:r>
      <w:r w:rsidR="00B71607" w:rsidRPr="00B71607">
        <w:t xml:space="preserve"> </w:t>
      </w:r>
      <w:r w:rsidR="00BF71BA">
        <w:t xml:space="preserve">usually </w:t>
      </w:r>
      <w:r>
        <w:t>does</w:t>
      </w:r>
      <w:r w:rsidR="00B71607" w:rsidRPr="00B71607">
        <w:t xml:space="preserve"> </w:t>
      </w:r>
      <w:r>
        <w:t>not</w:t>
      </w:r>
      <w:r w:rsidR="00B71607" w:rsidRPr="00B71607">
        <w:t xml:space="preserve"> </w:t>
      </w:r>
      <w:r>
        <w:t>exceed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speed</w:t>
      </w:r>
      <w:r w:rsidR="00B71607" w:rsidRPr="00B71607">
        <w:t xml:space="preserve"> </w:t>
      </w:r>
      <w:r>
        <w:t>limit</w:t>
      </w:r>
      <w:r w:rsidR="00B71607" w:rsidRPr="00B71607">
        <w:t xml:space="preserve"> </w:t>
      </w:r>
      <w:r>
        <w:t>set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an</w:t>
      </w:r>
      <w:r w:rsidR="00B71607" w:rsidRPr="00B71607">
        <w:t xml:space="preserve"> </w:t>
      </w:r>
      <w:r>
        <w:t>exogenously-given</w:t>
      </w:r>
      <w:r w:rsidR="00B71607" w:rsidRPr="00B71607">
        <w:t xml:space="preserve">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>
        <w:t>for</w:t>
      </w:r>
      <w:r w:rsidR="00B71607" w:rsidRPr="00B71607">
        <w:t xml:space="preserve"> </w:t>
      </w:r>
      <w:r w:rsidR="0003481B">
        <w:t xml:space="preserve">a period </w:t>
      </w:r>
      <w:r w:rsidRPr="00085D3B">
        <w:t>long</w:t>
      </w:r>
      <w:r w:rsidR="00B71607" w:rsidRPr="00B71607">
        <w:t xml:space="preserve"> </w:t>
      </w:r>
      <w:r w:rsidRPr="00085D3B">
        <w:t>enough</w:t>
      </w:r>
      <w:r w:rsidR="00B71607" w:rsidRPr="00B71607">
        <w:t xml:space="preserve"> </w:t>
      </w:r>
      <w:r w:rsidRPr="00085D3B">
        <w:t>to</w:t>
      </w:r>
      <w:r w:rsidR="00B71607" w:rsidRPr="00B71607">
        <w:t xml:space="preserve"> </w:t>
      </w:r>
      <w:r>
        <w:t>attain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cross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Pr="00085D3B">
        <w:t>inflation</w:t>
      </w:r>
      <w:r w:rsidR="00B71607" w:rsidRPr="00B71607">
        <w:t xml:space="preserve"> </w:t>
      </w:r>
      <w:r w:rsidRPr="00085D3B">
        <w:t>barrier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 w:rsidRPr="00CE44FC">
        <w:rPr>
          <w:b/>
        </w:rPr>
        <w:t>F</w:t>
      </w:r>
      <w:r w:rsidRPr="00085D3B">
        <w:t>.</w:t>
      </w:r>
      <w:r w:rsidR="00B71607" w:rsidRPr="00B71607">
        <w:t xml:space="preserve"> </w:t>
      </w:r>
    </w:p>
    <w:p w:rsidR="003E7379" w:rsidRPr="008631B7" w:rsidRDefault="0003481B" w:rsidP="003E7379">
      <w:pPr>
        <w:spacing w:line="240" w:lineRule="auto"/>
      </w:pPr>
      <w:r>
        <w:t xml:space="preserve">Of course, as discussed in </w:t>
      </w:r>
      <w:r w:rsidRPr="00220D2F">
        <w:t>§</w:t>
      </w:r>
      <w:r>
        <w:fldChar w:fldCharType="begin"/>
      </w:r>
      <w:r>
        <w:instrText xml:space="preserve"> REF _Ref407692431 \w \h </w:instrText>
      </w:r>
      <w:r>
        <w:fldChar w:fldCharType="separate"/>
      </w:r>
      <w:r w:rsidR="00292438">
        <w:t>II.B</w:t>
      </w:r>
      <w:r>
        <w:fldChar w:fldCharType="end"/>
      </w:r>
      <w:r>
        <w:t>, Harrod did consider those cases where growth occurs at or above full employment.</w:t>
      </w:r>
      <w:r w:rsidR="000A57F9">
        <w:t xml:space="preserve"> </w:t>
      </w:r>
      <w:r w:rsidR="008631B7">
        <w:t xml:space="preserve">As discussed there, growth above </w:t>
      </w:r>
      <w:r w:rsidR="008631B7">
        <w:rPr>
          <w:b/>
        </w:rPr>
        <w:t>F</w:t>
      </w:r>
      <w:r w:rsidR="008631B7">
        <w:t xml:space="preserve"> automatically implies forces that reduce the growth rate while (in the Keynesian spirit of asymmetry) growth below </w:t>
      </w:r>
      <w:r w:rsidR="008631B7">
        <w:rPr>
          <w:b/>
        </w:rPr>
        <w:t>F</w:t>
      </w:r>
      <w:r w:rsidR="008631B7">
        <w:t xml:space="preserve"> does not imply automatic movement up to full employment. In the present section, howe</w:t>
      </w:r>
      <w:r w:rsidR="008631B7">
        <w:t>v</w:t>
      </w:r>
      <w:r w:rsidR="008631B7">
        <w:t xml:space="preserve">er, the focus is only on the case of growth where output </w:t>
      </w:r>
      <w:r w:rsidR="008631B7">
        <w:rPr>
          <w:b/>
        </w:rPr>
        <w:t>Y</w:t>
      </w:r>
      <w:r w:rsidR="008631B7">
        <w:t xml:space="preserve"> is less than </w:t>
      </w:r>
      <w:r w:rsidR="008631B7">
        <w:rPr>
          <w:b/>
        </w:rPr>
        <w:t>F</w:t>
      </w:r>
      <w:r w:rsidR="008631B7">
        <w:t>.</w:t>
      </w:r>
    </w:p>
    <w:p w:rsidR="00FE49C3" w:rsidRDefault="00D4213A" w:rsidP="00FB4485">
      <w:pPr>
        <w:pStyle w:val="H3"/>
      </w:pPr>
      <w:r w:rsidRPr="00D4213A">
        <w:rPr>
          <w:noProof/>
        </w:rPr>
        <w:t>Harrod’s</w:t>
      </w:r>
      <w:r w:rsidR="00B71607" w:rsidRPr="00B71607">
        <w:t xml:space="preserve"> </w:t>
      </w:r>
      <w:r w:rsidR="00673A1A">
        <w:t>Knife</w:t>
      </w:r>
      <w:r w:rsidR="00B71607" w:rsidRPr="00B71607">
        <w:t xml:space="preserve"> </w:t>
      </w:r>
      <w:r w:rsidR="00673A1A">
        <w:t>Edge</w:t>
      </w:r>
      <w:r w:rsidR="00B71607" w:rsidRPr="00B71607">
        <w:t xml:space="preserve"> </w:t>
      </w:r>
      <w:r w:rsidR="00FE49C3">
        <w:t>in</w:t>
      </w:r>
      <w:r w:rsidR="00B71607" w:rsidRPr="00B71607">
        <w:t xml:space="preserve"> </w:t>
      </w:r>
      <w:r w:rsidR="00FE49C3">
        <w:t>the</w:t>
      </w:r>
      <w:r w:rsidR="00B71607" w:rsidRPr="00B71607">
        <w:t xml:space="preserve"> </w:t>
      </w:r>
      <w:r w:rsidR="00FE49C3">
        <w:t>HMR.</w:t>
      </w:r>
    </w:p>
    <w:p w:rsidR="00A6462B" w:rsidRPr="002264BC" w:rsidRDefault="00A6462B" w:rsidP="00A6462B">
      <w:pPr>
        <w:pStyle w:val="H2"/>
        <w:keepNext w:val="0"/>
        <w:numPr>
          <w:ilvl w:val="0"/>
          <w:numId w:val="0"/>
        </w:numPr>
      </w:pPr>
      <w:r>
        <w:t>The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framework</w:t>
      </w:r>
      <w:r w:rsidR="00B71607" w:rsidRPr="00B71607">
        <w:t xml:space="preserve"> </w:t>
      </w:r>
      <w:r>
        <w:t>starts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independence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rPr>
          <w:rFonts w:eastAsiaTheme="minorEastAsia"/>
        </w:rPr>
        <w:t>investment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from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saving.</w:t>
      </w:r>
      <w:r w:rsidR="00B71607" w:rsidRPr="00B71607">
        <w:rPr>
          <w:rFonts w:eastAsiaTheme="minorEastAsia"/>
        </w:rPr>
        <w:t xml:space="preserve"> </w:t>
      </w:r>
      <w:r w:rsidR="000700FC">
        <w:rPr>
          <w:rFonts w:eastAsiaTheme="minorEastAsia"/>
        </w:rPr>
        <w:t>To d</w:t>
      </w:r>
      <w:r w:rsidR="000700FC">
        <w:rPr>
          <w:rFonts w:eastAsiaTheme="minorEastAsia"/>
        </w:rPr>
        <w:t>e</w:t>
      </w:r>
      <w:r w:rsidR="000700FC">
        <w:rPr>
          <w:rFonts w:eastAsiaTheme="minorEastAsia"/>
        </w:rPr>
        <w:t xml:space="preserve">scribe this, </w:t>
      </w:r>
      <w:r w:rsidR="009D5829">
        <w:t xml:space="preserve">I </w:t>
      </w:r>
      <w:r w:rsidR="00311AD2">
        <w:t>use a</w:t>
      </w:r>
      <w:r w:rsidR="00B71607" w:rsidRPr="00B71607">
        <w:t xml:space="preserve"> </w:t>
      </w:r>
      <w:r w:rsidR="0026136B">
        <w:t>moderately</w:t>
      </w:r>
      <w:r w:rsidR="000700FC">
        <w:t xml:space="preserve"> </w:t>
      </w:r>
      <w:r>
        <w:t>realistic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function</w:t>
      </w:r>
      <w:r w:rsidR="00B71607" w:rsidRPr="00B71607">
        <w:t xml:space="preserve"> </w:t>
      </w:r>
      <w:r w:rsidR="0026136B">
        <w:t xml:space="preserve">from </w:t>
      </w:r>
      <w:r>
        <w:t>the</w:t>
      </w:r>
      <w:r w:rsidR="00B71607" w:rsidRPr="00B71607">
        <w:t xml:space="preserve"> </w:t>
      </w:r>
      <w:r>
        <w:t>flexible</w:t>
      </w:r>
      <w:r w:rsidR="00B71607" w:rsidRPr="00B71607">
        <w:t xml:space="preserve"> </w:t>
      </w:r>
      <w:r>
        <w:t>accelerator</w:t>
      </w:r>
      <w:r w:rsidR="00B71607" w:rsidRPr="00B71607">
        <w:t xml:space="preserve"> </w:t>
      </w:r>
      <w:r>
        <w:t>family</w:t>
      </w:r>
      <w:r>
        <w:rPr>
          <w:rStyle w:val="EndnoteReference"/>
        </w:rPr>
        <w:endnoteReference w:id="17"/>
      </w:r>
      <w:r w:rsidR="00B71607" w:rsidRPr="00B71607">
        <w:t xml:space="preserve"> </w:t>
      </w:r>
      <w:r w:rsidR="00311AD2">
        <w:t xml:space="preserve">to </w:t>
      </w:r>
      <w:r w:rsidR="007A1BB0">
        <w:t>explain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exact</w:t>
      </w:r>
      <w:r w:rsidR="00B71607" w:rsidRPr="00B71607">
        <w:t xml:space="preserve"> </w:t>
      </w:r>
      <w:r>
        <w:t>meaning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warranted</w:t>
      </w:r>
      <w:r w:rsidR="00B71607" w:rsidRPr="00B71607">
        <w:t xml:space="preserve"> </w:t>
      </w:r>
      <w:r>
        <w:t>dynamics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which</w:t>
      </w:r>
      <w:r w:rsidR="00B71607" w:rsidRPr="00B71607">
        <w:t xml:space="preserve"> </w:t>
      </w:r>
      <w:r>
        <w:t>everything</w:t>
      </w:r>
      <w:r w:rsidR="00B71607" w:rsidRPr="00B71607">
        <w:t xml:space="preserve"> </w:t>
      </w:r>
      <w:r>
        <w:t>“goes</w:t>
      </w:r>
      <w:r w:rsidR="00B71607" w:rsidRPr="00B71607">
        <w:t xml:space="preserve"> </w:t>
      </w:r>
      <w:r>
        <w:t>right</w:t>
      </w:r>
      <w:r w:rsidR="00311AD2">
        <w:t>.</w:t>
      </w:r>
      <w:r>
        <w:t>”</w:t>
      </w:r>
      <w:r w:rsidR="000700FC">
        <w:t xml:space="preserve"> Harrod himself clearly had an accelerator-type model of investment decisions in mind. </w:t>
      </w:r>
      <w:r>
        <w:t>Though</w:t>
      </w:r>
      <w:r w:rsidR="00B71607" w:rsidRPr="00B71607">
        <w:t xml:space="preserve"> </w:t>
      </w:r>
      <w:r w:rsidR="000700FC">
        <w:t xml:space="preserve">he </w:t>
      </w:r>
      <w:r w:rsidR="00346D68">
        <w:t>saw</w:t>
      </w:r>
      <w:r w:rsidR="00B71607" w:rsidRPr="00B71607">
        <w:t xml:space="preserve"> </w:t>
      </w:r>
      <w:r>
        <w:t>lags</w:t>
      </w:r>
      <w:r w:rsidR="00B71607" w:rsidRPr="00B71607">
        <w:t xml:space="preserve"> </w:t>
      </w:r>
      <w:r w:rsidR="00346D68">
        <w:t>as</w:t>
      </w:r>
      <w:r w:rsidR="00B71607" w:rsidRPr="00B71607">
        <w:t xml:space="preserve"> </w:t>
      </w:r>
      <w:r>
        <w:t>imply</w:t>
      </w:r>
      <w:r w:rsidR="00346D68">
        <w:t>ing</w:t>
      </w:r>
      <w:r w:rsidR="00B71607" w:rsidRPr="00B71607">
        <w:t xml:space="preserve"> </w:t>
      </w:r>
      <w:r>
        <w:t>deviations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 w:rsidR="000700FC">
        <w:t xml:space="preserve">the </w:t>
      </w:r>
      <w:r>
        <w:t>ideal</w:t>
      </w:r>
      <w:r w:rsidR="00B71607" w:rsidRPr="00B71607">
        <w:t xml:space="preserve"> </w:t>
      </w:r>
      <w:r>
        <w:t>moving</w:t>
      </w:r>
      <w:r w:rsidR="00B71607" w:rsidRPr="00B71607">
        <w:t xml:space="preserve"> </w:t>
      </w:r>
      <w:r>
        <w:t>equilibrium,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fact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they</w:t>
      </w:r>
      <w:r w:rsidR="00B71607" w:rsidRPr="00B71607">
        <w:t xml:space="preserve"> </w:t>
      </w:r>
      <w:r>
        <w:t>are</w:t>
      </w:r>
      <w:r w:rsidR="00B71607" w:rsidRPr="00B71607">
        <w:t xml:space="preserve"> </w:t>
      </w:r>
      <w:r>
        <w:t>so</w:t>
      </w:r>
      <w:r w:rsidR="00B71607" w:rsidRPr="00B71607">
        <w:t xml:space="preserve"> </w:t>
      </w:r>
      <w:r>
        <w:t>familiar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most</w:t>
      </w:r>
      <w:r w:rsidR="00B71607" w:rsidRPr="00B71607">
        <w:t xml:space="preserve"> </w:t>
      </w:r>
      <w:r>
        <w:t>modern</w:t>
      </w:r>
      <w:r w:rsidR="00B71607" w:rsidRPr="00B71607">
        <w:t xml:space="preserve"> </w:t>
      </w:r>
      <w:r>
        <w:t>macroeconomists</w:t>
      </w:r>
      <w:r w:rsidR="00B71607" w:rsidRPr="00B71607">
        <w:t xml:space="preserve"> </w:t>
      </w:r>
      <w:r>
        <w:t>makes</w:t>
      </w:r>
      <w:r w:rsidR="00B71607" w:rsidRPr="00B71607">
        <w:t xml:space="preserve"> </w:t>
      </w:r>
      <w:r>
        <w:t>them</w:t>
      </w:r>
      <w:r w:rsidR="00B71607" w:rsidRPr="00B71607">
        <w:t xml:space="preserve"> </w:t>
      </w:r>
      <w:r>
        <w:t>useful</w:t>
      </w:r>
      <w:r w:rsidR="00B71607" w:rsidRPr="00B71607">
        <w:t xml:space="preserve"> </w:t>
      </w:r>
      <w:r w:rsidR="00F14D28">
        <w:t xml:space="preserve">as a </w:t>
      </w:r>
      <w:r>
        <w:t>starting</w:t>
      </w:r>
      <w:r w:rsidR="00B71607" w:rsidRPr="00B71607">
        <w:t xml:space="preserve"> </w:t>
      </w:r>
      <w:r>
        <w:t>point.</w:t>
      </w:r>
      <w:r w:rsidR="00B71607" w:rsidRPr="00B71607">
        <w:t xml:space="preserve"> </w:t>
      </w:r>
      <w:r w:rsidR="008631B7">
        <w:t>To aid clarity, a</w:t>
      </w:r>
      <w:r>
        <w:t>ssume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HMR</w:t>
      </w:r>
      <w:r w:rsidR="00B71607" w:rsidRPr="00B71607">
        <w:t xml:space="preserve"> </w:t>
      </w:r>
      <w:r>
        <w:t>conditions</w:t>
      </w:r>
      <w:r w:rsidR="00B71607" w:rsidRPr="00B71607">
        <w:t xml:space="preserve"> </w:t>
      </w:r>
      <w:r>
        <w:t>apply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“year.”</w:t>
      </w:r>
      <w:r w:rsidR="002264BC">
        <w:t xml:space="preserve"> </w:t>
      </w:r>
    </w:p>
    <w:p w:rsidR="003F1BC8" w:rsidRDefault="00047C3A" w:rsidP="00650B29">
      <w:pPr>
        <w:pStyle w:val="H4"/>
        <w:keepNext/>
      </w:pPr>
      <w:bookmarkStart w:id="13" w:name="_Ref409962657"/>
      <w:r>
        <w:t>Warranted Growth</w:t>
      </w:r>
      <w:r w:rsidR="00946657">
        <w:t>.</w:t>
      </w:r>
      <w:bookmarkEnd w:id="13"/>
      <w:r w:rsidR="00B71607" w:rsidRPr="00B71607">
        <w:t xml:space="preserve"> </w:t>
      </w:r>
    </w:p>
    <w:p w:rsidR="0026136B" w:rsidRDefault="0026136B" w:rsidP="00F0548D">
      <w:pPr>
        <w:pStyle w:val="H2"/>
        <w:keepNext w:val="0"/>
        <w:numPr>
          <w:ilvl w:val="0"/>
          <w:numId w:val="0"/>
        </w:numPr>
      </w:pPr>
      <w:bookmarkStart w:id="14" w:name="_Ref410195766"/>
      <w:r>
        <w:t>Because</w:t>
      </w:r>
      <w:r w:rsidRPr="00B71607">
        <w:t xml:space="preserve"> </w:t>
      </w:r>
      <w:r>
        <w:rPr>
          <w:b/>
          <w:i/>
        </w:rPr>
        <w:t>c</w:t>
      </w:r>
      <w:r w:rsidRPr="00B71607">
        <w:t xml:space="preserve"> </w:t>
      </w:r>
      <w:r>
        <w:t>is</w:t>
      </w:r>
      <w:r w:rsidRPr="00B71607">
        <w:t xml:space="preserve"> </w:t>
      </w:r>
      <w:r>
        <w:t>given</w:t>
      </w:r>
      <w:r w:rsidRPr="00B71607">
        <w:t xml:space="preserve"> </w:t>
      </w:r>
      <w:r>
        <w:t>in</w:t>
      </w:r>
      <w:r w:rsidRPr="00B71607">
        <w:t xml:space="preserve"> </w:t>
      </w:r>
      <w:r>
        <w:t>the</w:t>
      </w:r>
      <w:r w:rsidRPr="00B71607">
        <w:t xml:space="preserve"> </w:t>
      </w:r>
      <w:r>
        <w:t>HMR,</w:t>
      </w:r>
      <w:r w:rsidRPr="00B71607">
        <w:t xml:space="preserve"> </w:t>
      </w:r>
      <w:r>
        <w:t>the equations below</w:t>
      </w:r>
      <w:r w:rsidRPr="00B71607">
        <w:t xml:space="preserve"> </w:t>
      </w:r>
      <w:r>
        <w:t>omit</w:t>
      </w:r>
      <w:r w:rsidRPr="00B71607">
        <w:t xml:space="preserve"> </w:t>
      </w:r>
      <w:r>
        <w:t>the</w:t>
      </w:r>
      <w:r w:rsidRPr="00B71607">
        <w:t xml:space="preserve"> </w:t>
      </w:r>
      <w:r>
        <w:t>role</w:t>
      </w:r>
      <w:r w:rsidRPr="00B71607">
        <w:t xml:space="preserve"> </w:t>
      </w:r>
      <w:r>
        <w:t>of</w:t>
      </w:r>
      <w:r w:rsidRPr="00B71607">
        <w:t xml:space="preserve"> </w:t>
      </w:r>
      <w:r>
        <w:t>changing</w:t>
      </w:r>
      <w:r w:rsidRPr="00B71607">
        <w:t xml:space="preserve"> </w:t>
      </w:r>
      <w:r>
        <w:t>investment</w:t>
      </w:r>
      <w:r w:rsidRPr="00B71607">
        <w:t xml:space="preserve"> </w:t>
      </w:r>
      <w:r>
        <w:t>due</w:t>
      </w:r>
      <w:r w:rsidRPr="00B71607">
        <w:t xml:space="preserve"> </w:t>
      </w:r>
      <w:r>
        <w:t>to</w:t>
      </w:r>
      <w:r w:rsidRPr="00B71607">
        <w:t xml:space="preserve"> </w:t>
      </w:r>
      <w:r>
        <w:t>variations</w:t>
      </w:r>
      <w:r w:rsidRPr="00B71607">
        <w:t xml:space="preserve"> </w:t>
      </w:r>
      <w:r>
        <w:t>in</w:t>
      </w:r>
      <w:r w:rsidRPr="00B71607">
        <w:t xml:space="preserve"> </w:t>
      </w:r>
      <w:r>
        <w:t>expected</w:t>
      </w:r>
      <w:r w:rsidRPr="00B71607">
        <w:t xml:space="preserve"> </w:t>
      </w:r>
      <w:r>
        <w:t>profitability,</w:t>
      </w:r>
      <w:r w:rsidRPr="00B71607">
        <w:t xml:space="preserve"> </w:t>
      </w:r>
      <w:r>
        <w:t>interest</w:t>
      </w:r>
      <w:r w:rsidRPr="00B71607">
        <w:t xml:space="preserve"> </w:t>
      </w:r>
      <w:r>
        <w:t>rates,</w:t>
      </w:r>
      <w:r w:rsidRPr="00B71607">
        <w:t xml:space="preserve"> </w:t>
      </w:r>
      <w:r>
        <w:t>and</w:t>
      </w:r>
      <w:r w:rsidRPr="00B71607">
        <w:t xml:space="preserve"> </w:t>
      </w:r>
      <w:r>
        <w:t>the</w:t>
      </w:r>
      <w:r w:rsidRPr="00B71607">
        <w:t xml:space="preserve"> </w:t>
      </w:r>
      <w:r>
        <w:t>like.</w:t>
      </w:r>
      <w:r w:rsidRPr="00B71607">
        <w:t xml:space="preserve"> </w:t>
      </w:r>
      <w:r w:rsidR="00F0548D">
        <w:t xml:space="preserve">This is intentional: </w:t>
      </w:r>
      <w:r>
        <w:t>the</w:t>
      </w:r>
      <w:r w:rsidRPr="00B71607">
        <w:t xml:space="preserve"> </w:t>
      </w:r>
      <w:r>
        <w:t>point</w:t>
      </w:r>
      <w:r w:rsidRPr="00B71607">
        <w:t xml:space="preserve"> </w:t>
      </w:r>
      <w:r>
        <w:t>here</w:t>
      </w:r>
      <w:r w:rsidRPr="00B71607">
        <w:t xml:space="preserve"> </w:t>
      </w:r>
      <w:r>
        <w:t>is</w:t>
      </w:r>
      <w:r w:rsidRPr="00B71607">
        <w:t xml:space="preserve"> </w:t>
      </w:r>
      <w:r>
        <w:t>not</w:t>
      </w:r>
      <w:r w:rsidRPr="00B71607">
        <w:t xml:space="preserve"> </w:t>
      </w:r>
      <w:r>
        <w:t>to</w:t>
      </w:r>
      <w:r w:rsidRPr="00B71607">
        <w:t xml:space="preserve"> </w:t>
      </w:r>
      <w:r>
        <w:t>describe</w:t>
      </w:r>
      <w:r w:rsidRPr="00B71607">
        <w:t xml:space="preserve"> </w:t>
      </w:r>
      <w:r>
        <w:t>actual</w:t>
      </w:r>
      <w:r w:rsidRPr="00B71607">
        <w:t xml:space="preserve"> </w:t>
      </w:r>
      <w:r>
        <w:t>behavior</w:t>
      </w:r>
      <w:r w:rsidRPr="00B71607">
        <w:t xml:space="preserve"> </w:t>
      </w:r>
      <w:r>
        <w:t>but</w:t>
      </w:r>
      <w:r w:rsidRPr="00B71607">
        <w:t xml:space="preserve"> </w:t>
      </w:r>
      <w:r>
        <w:t>instead</w:t>
      </w:r>
      <w:r w:rsidRPr="00B71607">
        <w:t xml:space="preserve"> </w:t>
      </w:r>
      <w:r>
        <w:t>to</w:t>
      </w:r>
      <w:r w:rsidRPr="00B71607">
        <w:t xml:space="preserve"> </w:t>
      </w:r>
      <w:r>
        <w:t>limn</w:t>
      </w:r>
      <w:r w:rsidRPr="00B71607">
        <w:t xml:space="preserve"> </w:t>
      </w:r>
      <w:r>
        <w:t>the</w:t>
      </w:r>
      <w:r w:rsidRPr="00B71607">
        <w:t xml:space="preserve"> </w:t>
      </w:r>
      <w:r>
        <w:t>conditions</w:t>
      </w:r>
      <w:r w:rsidRPr="00B71607">
        <w:t xml:space="preserve"> </w:t>
      </w:r>
      <w:r>
        <w:t>defining</w:t>
      </w:r>
      <w:r w:rsidRPr="00B71607">
        <w:t xml:space="preserve"> </w:t>
      </w:r>
      <w:r w:rsidRPr="00D4213A">
        <w:rPr>
          <w:noProof/>
        </w:rPr>
        <w:t>Harrod’s</w:t>
      </w:r>
      <w:r w:rsidRPr="00B71607">
        <w:t xml:space="preserve"> </w:t>
      </w:r>
      <w:r>
        <w:t>moving</w:t>
      </w:r>
      <w:r w:rsidRPr="00B71607">
        <w:t xml:space="preserve"> </w:t>
      </w:r>
      <w:r>
        <w:t>equilibrium.</w:t>
      </w:r>
      <w:r w:rsidRPr="00B71607">
        <w:t xml:space="preserve"> </w:t>
      </w:r>
    </w:p>
    <w:p w:rsidR="00C31F28" w:rsidRDefault="00375E02" w:rsidP="00C31F28">
      <w:r>
        <w:rPr>
          <w:b/>
        </w:rPr>
        <w:t xml:space="preserve">(a) </w:t>
      </w:r>
      <w:r w:rsidR="00C31F28">
        <w:t>During</w:t>
      </w:r>
      <w:r w:rsidR="00B71607" w:rsidRPr="00B71607">
        <w:t xml:space="preserve"> </w:t>
      </w:r>
      <w:r w:rsidR="00AC169F">
        <w:t>a year</w:t>
      </w:r>
      <w:r w:rsidR="00C31F28">
        <w:t>,</w:t>
      </w:r>
      <w:r w:rsidR="00B71607" w:rsidRPr="00B71607">
        <w:t xml:space="preserve"> </w:t>
      </w:r>
      <w:r w:rsidR="00082BE0">
        <w:t xml:space="preserve">the </w:t>
      </w:r>
      <w:r w:rsidR="00314EC9">
        <w:t xml:space="preserve">RF’s </w:t>
      </w:r>
      <w:r w:rsidR="00C31F28">
        <w:t>desired</w:t>
      </w:r>
      <w:r w:rsidR="00B71607" w:rsidRPr="00B71607">
        <w:t xml:space="preserve"> </w:t>
      </w:r>
      <w:r w:rsidR="00C31F28">
        <w:t>level</w:t>
      </w:r>
      <w:r w:rsidR="00B71607" w:rsidRPr="00B71607">
        <w:t xml:space="preserve"> </w:t>
      </w:r>
      <w:r w:rsidR="00C31F28">
        <w:t>of</w:t>
      </w:r>
      <w:r w:rsidR="00B71607" w:rsidRPr="00B71607">
        <w:t xml:space="preserve"> </w:t>
      </w:r>
      <w:r w:rsidR="00C31F28">
        <w:t>investment</w:t>
      </w:r>
      <w:r w:rsidR="00B71607" w:rsidRPr="00B71607">
        <w:t xml:space="preserve"> </w:t>
      </w:r>
      <w:r w:rsidR="00C31F28">
        <w:t>(</w:t>
      </w:r>
      <w:r w:rsidR="00C31F28">
        <w:rPr>
          <w:b/>
        </w:rPr>
        <w:t>I</w:t>
      </w:r>
      <w:r w:rsidR="00AC169F" w:rsidRPr="00AC169F">
        <w:rPr>
          <w:b/>
          <w:caps/>
          <w:vertAlign w:val="superscript"/>
        </w:rPr>
        <w:t>D</w:t>
      </w:r>
      <w:r w:rsidR="00C31F28">
        <w:t>)</w:t>
      </w:r>
      <w:r w:rsidR="00B71607" w:rsidRPr="00B71607">
        <w:t xml:space="preserve"> </w:t>
      </w:r>
      <w:r w:rsidR="00AC169F">
        <w:t xml:space="preserve">is </w:t>
      </w:r>
      <w:r w:rsidR="00C31F28">
        <w:t>the</w:t>
      </w:r>
      <w:r w:rsidR="00B71607" w:rsidRPr="00B71607">
        <w:t xml:space="preserve"> </w:t>
      </w:r>
      <w:r w:rsidR="00C31F28">
        <w:t>amount</w:t>
      </w:r>
      <w:r w:rsidR="00B71607" w:rsidRPr="00B71607">
        <w:t xml:space="preserve"> </w:t>
      </w:r>
      <w:r w:rsidR="00C31F28">
        <w:t>needed</w:t>
      </w:r>
      <w:r w:rsidR="00B71607" w:rsidRPr="00B71607">
        <w:t xml:space="preserve"> </w:t>
      </w:r>
      <w:r w:rsidR="00C31F28">
        <w:t>to</w:t>
      </w:r>
      <w:r w:rsidR="00B71607" w:rsidRPr="00B71607">
        <w:t xml:space="preserve"> </w:t>
      </w:r>
      <w:r w:rsidR="00C31F28">
        <w:t>fill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rPr>
          <w:i/>
        </w:rPr>
        <w:t>capital</w:t>
      </w:r>
      <w:r w:rsidR="00B71607" w:rsidRPr="00B71607">
        <w:t xml:space="preserve"> </w:t>
      </w:r>
      <w:r w:rsidR="00C31F28">
        <w:rPr>
          <w:i/>
        </w:rPr>
        <w:t>gap</w:t>
      </w:r>
      <w:r w:rsidR="00B71607" w:rsidRPr="00B71607">
        <w:t xml:space="preserve"> </w:t>
      </w:r>
      <w:r w:rsidR="00C31F28">
        <w:t>between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desired</w:t>
      </w:r>
      <w:r w:rsidR="00B71607" w:rsidRPr="00B71607">
        <w:t xml:space="preserve"> </w:t>
      </w:r>
      <w:r w:rsidR="00C31F28">
        <w:t>capital</w:t>
      </w:r>
      <w:r w:rsidR="00B71607" w:rsidRPr="00B71607">
        <w:t xml:space="preserve"> </w:t>
      </w:r>
      <w:r w:rsidR="00C31F28">
        <w:t>stock</w:t>
      </w:r>
      <w:r w:rsidR="00B71607" w:rsidRPr="00B71607">
        <w:t xml:space="preserve"> </w:t>
      </w:r>
      <w:r w:rsidR="00C31F28">
        <w:t>(</w:t>
      </w:r>
      <w:r w:rsidR="00C31F28">
        <w:rPr>
          <w:b/>
        </w:rPr>
        <w:t>K</w:t>
      </w:r>
      <w:r w:rsidR="00AC169F" w:rsidRPr="00AC169F">
        <w:rPr>
          <w:b/>
          <w:caps/>
          <w:vertAlign w:val="superscript"/>
        </w:rPr>
        <w:t>D</w:t>
      </w:r>
      <w:r w:rsidR="00C31F28">
        <w:t>)</w:t>
      </w:r>
      <w:r w:rsidR="00B71607" w:rsidRPr="00B71607">
        <w:t xml:space="preserve"> </w:t>
      </w:r>
      <w:r w:rsidR="00C31F28">
        <w:t>at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end</w:t>
      </w:r>
      <w:r w:rsidR="00B71607" w:rsidRPr="00B71607">
        <w:t xml:space="preserve"> </w:t>
      </w:r>
      <w:r w:rsidR="00C31F28">
        <w:t>of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year</w:t>
      </w:r>
      <w:r w:rsidR="00B71607" w:rsidRPr="00B71607">
        <w:t xml:space="preserve"> </w:t>
      </w:r>
      <w:r w:rsidR="00C31F28">
        <w:t>(at</w:t>
      </w:r>
      <w:r w:rsidR="00B71607" w:rsidRPr="00B71607">
        <w:t xml:space="preserve"> </w:t>
      </w:r>
      <w:r w:rsidR="00C31F28">
        <w:t>time</w:t>
      </w:r>
      <w:r w:rsidR="00B71607" w:rsidRPr="00B71607">
        <w:t xml:space="preserve"> </w:t>
      </w:r>
      <w:r w:rsidR="00C31F28">
        <w:rPr>
          <w:b/>
        </w:rPr>
        <w:t>t</w:t>
      </w:r>
      <w:r w:rsidR="00C31F28">
        <w:t>)</w:t>
      </w:r>
      <w:r w:rsidR="00B71607" w:rsidRPr="00B71607">
        <w:t xml:space="preserve"> </w:t>
      </w:r>
      <w:r w:rsidR="00C31F28">
        <w:t>and</w:t>
      </w:r>
      <w:r w:rsidR="00B71607" w:rsidRPr="00B71607">
        <w:t xml:space="preserve"> </w:t>
      </w:r>
      <w:r w:rsidR="00C31F28">
        <w:rPr>
          <w:b/>
        </w:rPr>
        <w:t>K</w:t>
      </w:r>
      <w:r w:rsidR="00C31F28">
        <w:rPr>
          <w:b/>
          <w:smallCaps/>
          <w:vertAlign w:val="subscript"/>
        </w:rPr>
        <w:t>–1</w:t>
      </w:r>
      <w:r w:rsidR="00C31F28">
        <w:t>,</w:t>
      </w:r>
      <w:r w:rsidR="00B71607" w:rsidRPr="00B71607">
        <w:t xml:space="preserve"> </w:t>
      </w:r>
      <w:r w:rsidR="00C31F28">
        <w:t>i.e.,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stock</w:t>
      </w:r>
      <w:r w:rsidR="00B71607" w:rsidRPr="00B71607">
        <w:t xml:space="preserve"> </w:t>
      </w:r>
      <w:r w:rsidR="00C31F28">
        <w:t>existing</w:t>
      </w:r>
      <w:r w:rsidR="00B71607" w:rsidRPr="00B71607">
        <w:t xml:space="preserve"> </w:t>
      </w:r>
      <w:r w:rsidR="00C31F28">
        <w:t>one</w:t>
      </w:r>
      <w:r w:rsidR="00B71607" w:rsidRPr="00B71607">
        <w:t xml:space="preserve"> </w:t>
      </w:r>
      <w:r w:rsidR="00C31F28">
        <w:t>year</w:t>
      </w:r>
      <w:r w:rsidR="00B71607" w:rsidRPr="00B71607">
        <w:t xml:space="preserve"> </w:t>
      </w:r>
      <w:r w:rsidR="00C31F28">
        <w:t>earlier</w:t>
      </w:r>
      <w:r w:rsidR="00B71607" w:rsidRPr="00B71607">
        <w:t xml:space="preserve"> </w:t>
      </w:r>
      <w:r w:rsidR="00C31F28">
        <w:t>(</w:t>
      </w:r>
      <w:r w:rsidR="00C31F28">
        <w:rPr>
          <w:b/>
        </w:rPr>
        <w:t>t–1</w:t>
      </w:r>
      <w:r w:rsidR="00C31F28">
        <w:t>).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former</w:t>
      </w:r>
      <w:r w:rsidR="00B71607" w:rsidRPr="00B71607">
        <w:t xml:space="preserve"> </w:t>
      </w:r>
      <w:r w:rsidR="00C31F28">
        <w:t>is</w:t>
      </w:r>
      <w:r w:rsidR="00B71607" w:rsidRPr="00B71607">
        <w:t xml:space="preserve"> </w:t>
      </w:r>
      <w:r w:rsidR="00C31F28">
        <w:t>determined</w:t>
      </w:r>
      <w:r w:rsidR="00B71607" w:rsidRPr="00B71607">
        <w:t xml:space="preserve"> </w:t>
      </w:r>
      <w:r w:rsidR="00C31F28">
        <w:t>by</w:t>
      </w:r>
      <w:r w:rsidR="00B71607" w:rsidRPr="00B71607">
        <w:t xml:space="preserve"> </w:t>
      </w:r>
      <w:r w:rsidR="00C31F28">
        <w:t>both</w:t>
      </w:r>
      <w:r w:rsidR="00B71607" w:rsidRPr="00B71607">
        <w:t xml:space="preserve"> </w:t>
      </w:r>
      <w:r w:rsidR="00AC169F">
        <w:t xml:space="preserve">the capital-output ratio </w:t>
      </w:r>
      <w:r w:rsidR="00C31F28">
        <w:t>and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expected</w:t>
      </w:r>
      <w:r w:rsidR="00B71607" w:rsidRPr="00B71607">
        <w:t xml:space="preserve"> </w:t>
      </w:r>
      <w:r w:rsidR="00C31F28">
        <w:t>level</w:t>
      </w:r>
      <w:r w:rsidR="00B71607" w:rsidRPr="00B71607">
        <w:t xml:space="preserve"> </w:t>
      </w:r>
      <w:r w:rsidR="00C31F28">
        <w:t>of</w:t>
      </w:r>
      <w:r w:rsidR="00B71607" w:rsidRPr="00B71607">
        <w:t xml:space="preserve"> </w:t>
      </w:r>
      <w:r w:rsidR="00FC7322">
        <w:t xml:space="preserve">output </w:t>
      </w:r>
      <w:r w:rsidR="00C31F28">
        <w:t>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C31F28">
        <w:t>)</w:t>
      </w:r>
      <w:r w:rsidR="00B71607" w:rsidRPr="00B71607">
        <w:t xml:space="preserve"> </w:t>
      </w:r>
      <w:r w:rsidR="00C31F28">
        <w:t>at</w:t>
      </w:r>
      <w:r w:rsidR="00B71607" w:rsidRPr="00B71607">
        <w:t xml:space="preserve"> </w:t>
      </w:r>
      <w:r w:rsidR="00C31F28">
        <w:t>time</w:t>
      </w:r>
      <w:r w:rsidR="00B71607" w:rsidRPr="00B71607">
        <w:t xml:space="preserve"> </w:t>
      </w:r>
      <w:r w:rsidR="00C31F28">
        <w:rPr>
          <w:b/>
        </w:rPr>
        <w:t>t</w:t>
      </w:r>
      <w:r w:rsidR="00C31F28">
        <w:t>.</w:t>
      </w:r>
      <w:r w:rsidR="00C31F28" w:rsidRPr="001946E5">
        <w:rPr>
          <w:rStyle w:val="EndnoteReference"/>
        </w:rPr>
        <w:endnoteReference w:id="18"/>
      </w:r>
      <w:r w:rsidR="00B71607" w:rsidRPr="00B71607">
        <w:t xml:space="preserve"> 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  <w:gridCol w:w="682"/>
      </w:tblGrid>
      <w:tr w:rsidR="00C31F28" w:rsidTr="00B71607">
        <w:trPr>
          <w:jc w:val="center"/>
        </w:trPr>
        <w:tc>
          <w:tcPr>
            <w:tcW w:w="8319" w:type="dxa"/>
            <w:hideMark/>
          </w:tcPr>
          <w:p w:rsidR="00C31F28" w:rsidRDefault="00C31F28" w:rsidP="00B71607">
            <w:pPr>
              <w:jc w:val="center"/>
            </w:pPr>
            <w:r>
              <w:rPr>
                <w:b/>
              </w:rPr>
              <w:t>I</w:t>
            </w:r>
            <w:r w:rsidR="00AC169F" w:rsidRPr="00AC169F">
              <w:rPr>
                <w:b/>
                <w:caps/>
                <w:vertAlign w:val="superscript"/>
              </w:rPr>
              <w:t>D</w:t>
            </w:r>
            <w:r w:rsidR="00B71607" w:rsidRPr="00B71607">
              <w:t xml:space="preserve"> </w:t>
            </w:r>
            <w:r>
              <w:t>=</w:t>
            </w:r>
            <w:r w:rsidR="00B71607" w:rsidRPr="00B71607">
              <w:t xml:space="preserve"> </w:t>
            </w:r>
            <w:r>
              <w:rPr>
                <w:b/>
              </w:rPr>
              <w:t>K</w:t>
            </w:r>
            <w:r w:rsidR="00AC169F" w:rsidRPr="00AC169F">
              <w:rPr>
                <w:b/>
                <w:caps/>
                <w:vertAlign w:val="superscript"/>
              </w:rPr>
              <w:t>D</w:t>
            </w:r>
            <w:r w:rsidR="00B71607" w:rsidRPr="00B71607">
              <w:t xml:space="preserve"> </w:t>
            </w:r>
            <w:r>
              <w:t>–</w:t>
            </w:r>
            <w:r w:rsidR="00B71607" w:rsidRPr="00B71607"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mallCaps/>
                <w:vertAlign w:val="subscript"/>
              </w:rPr>
              <w:t>–1</w:t>
            </w:r>
            <w:r w:rsidR="00B71607" w:rsidRPr="00B71607">
              <w:t xml:space="preserve"> </w:t>
            </w:r>
            <w:r>
              <w:t>=</w:t>
            </w:r>
            <w:r w:rsidR="00B71607" w:rsidRPr="00B71607">
              <w:t xml:space="preserve"> </w:t>
            </w:r>
            <w:r>
              <w:rPr>
                <w:b/>
                <w:i/>
              </w:rPr>
              <w:t>c</w:t>
            </w:r>
            <w:r>
              <w:t>·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Y</m:t>
                  </m:r>
                </m:e>
              </m:acc>
            </m:oMath>
            <w:r w:rsidR="00B71607" w:rsidRPr="00B71607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B71607" w:rsidRPr="00B71607">
              <w:rPr>
                <w:sz w:val="20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mallCaps/>
                <w:vertAlign w:val="subscript"/>
              </w:rPr>
              <w:t>–1</w:t>
            </w:r>
          </w:p>
        </w:tc>
        <w:tc>
          <w:tcPr>
            <w:tcW w:w="682" w:type="dxa"/>
          </w:tcPr>
          <w:p w:rsidR="00C31F28" w:rsidRPr="002D1EDD" w:rsidRDefault="008501D8" w:rsidP="00B71607">
            <w:pPr>
              <w:pStyle w:val="H4"/>
              <w:numPr>
                <w:ilvl w:val="0"/>
                <w:numId w:val="0"/>
              </w:numPr>
              <w:outlineLvl w:val="9"/>
            </w:pPr>
            <w:bookmarkStart w:id="15" w:name="_Ref407867721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3</w:t>
            </w:r>
            <w:r w:rsidR="00321870">
              <w:rPr>
                <w:noProof/>
              </w:rPr>
              <w:fldChar w:fldCharType="end"/>
            </w:r>
            <w:r w:rsidR="00C31F28">
              <w:t>)</w:t>
            </w:r>
            <w:bookmarkEnd w:id="15"/>
          </w:p>
        </w:tc>
      </w:tr>
    </w:tbl>
    <w:p w:rsidR="00C31F28" w:rsidRDefault="00C31F28" w:rsidP="00C31F28">
      <w:r>
        <w:t>The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gap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positive</w:t>
      </w:r>
      <w:r w:rsidR="00B71607" w:rsidRPr="00B71607">
        <w:t xml:space="preserve"> </w:t>
      </w:r>
      <w:r>
        <w:t>because</w:t>
      </w:r>
      <w:r w:rsidR="00B71607" w:rsidRPr="00B71607">
        <w:t xml:space="preserve"> </w:t>
      </w:r>
      <w:r>
        <w:t>output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expected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grow</w:t>
      </w:r>
      <w:r w:rsidR="00B71607" w:rsidRPr="00B71607">
        <w:t xml:space="preserve"> </w:t>
      </w:r>
      <w:r>
        <w:t>relative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rPr>
          <w:b/>
        </w:rPr>
        <w:t>Y</w:t>
      </w:r>
      <w:r>
        <w:rPr>
          <w:b/>
          <w:smallCaps/>
          <w:vertAlign w:val="subscript"/>
        </w:rPr>
        <w:t>–1</w:t>
      </w:r>
      <w:r w:rsidR="00B71607" w:rsidRPr="00B71607">
        <w:t xml:space="preserve"> </w:t>
      </w:r>
      <w:r>
        <w:t>and/or</w:t>
      </w:r>
      <w:r w:rsidR="00B71607" w:rsidRPr="00B71607">
        <w:t xml:space="preserve"> </w:t>
      </w:r>
      <w:r>
        <w:t>because</w:t>
      </w:r>
      <w:r w:rsidR="00B71607" w:rsidRPr="00B71607">
        <w:t xml:space="preserve"> </w:t>
      </w:r>
      <w:r>
        <w:t>slow</w:t>
      </w:r>
      <w:r w:rsidR="00B71607" w:rsidRPr="00B71607">
        <w:t xml:space="preserve"> </w:t>
      </w:r>
      <w:r>
        <w:t>delivery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installation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goods</w:t>
      </w:r>
      <w:r w:rsidR="00B71607" w:rsidRPr="00B71607">
        <w:t xml:space="preserve"> </w:t>
      </w:r>
      <w:r w:rsidR="00314EC9">
        <w:t xml:space="preserve">have implied </w:t>
      </w:r>
      <w:r>
        <w:t>a</w:t>
      </w:r>
      <w:r w:rsidR="00B71607" w:rsidRPr="00B71607">
        <w:t xml:space="preserve"> </w:t>
      </w:r>
      <w:r>
        <w:t>low</w:t>
      </w:r>
      <w:r w:rsidR="00B71607" w:rsidRPr="00B71607">
        <w:t xml:space="preserve"> </w:t>
      </w:r>
      <w:r>
        <w:rPr>
          <w:b/>
        </w:rPr>
        <w:t>K</w:t>
      </w:r>
      <w:r>
        <w:rPr>
          <w:b/>
          <w:smallCaps/>
          <w:vertAlign w:val="subscript"/>
        </w:rPr>
        <w:t>–1</w:t>
      </w:r>
      <w:r w:rsidR="00B71607" w:rsidRPr="00B71607">
        <w:t xml:space="preserve"> </w:t>
      </w:r>
      <w:r>
        <w:t>compared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rPr>
          <w:b/>
        </w:rPr>
        <w:t>K</w:t>
      </w:r>
      <w:r w:rsidR="00AC169F" w:rsidRPr="00AC169F">
        <w:rPr>
          <w:b/>
          <w:caps/>
          <w:vertAlign w:val="superscript"/>
        </w:rPr>
        <w:t>D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rPr>
          <w:b/>
        </w:rPr>
        <w:t>t–1</w:t>
      </w:r>
      <w:r>
        <w:t>.</w:t>
      </w:r>
      <w:r w:rsidR="001939AB">
        <w:rPr>
          <w:rStyle w:val="EndnoteReference"/>
        </w:rPr>
        <w:endnoteReference w:id="19"/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positive</w:t>
      </w:r>
      <w:r w:rsidR="00B71607" w:rsidRPr="00B71607">
        <w:t xml:space="preserve"> </w:t>
      </w:r>
      <w:r>
        <w:t>gap</w:t>
      </w:r>
      <w:r w:rsidR="00B71607" w:rsidRPr="00B71607">
        <w:t xml:space="preserve"> </w:t>
      </w:r>
      <w:r>
        <w:t>then</w:t>
      </w:r>
      <w:r w:rsidR="00B71607" w:rsidRPr="00B71607">
        <w:t xml:space="preserve"> </w:t>
      </w:r>
      <w:r>
        <w:t>implies</w:t>
      </w:r>
      <w:r w:rsidR="00B71607" w:rsidRPr="00B71607">
        <w:t xml:space="preserve"> </w:t>
      </w:r>
      <w:r>
        <w:t>positive</w:t>
      </w:r>
      <w:r w:rsidR="00B71607" w:rsidRPr="00B71607">
        <w:t xml:space="preserve"> </w:t>
      </w:r>
      <w:r>
        <w:t>desired</w:t>
      </w:r>
      <w:r w:rsidR="00B71607" w:rsidRPr="00B71607">
        <w:t xml:space="preserve"> </w:t>
      </w:r>
      <w:r>
        <w:t>net</w:t>
      </w:r>
      <w:r w:rsidR="00B71607" w:rsidRPr="00B71607">
        <w:t xml:space="preserve"> </w:t>
      </w:r>
      <w:r>
        <w:t>investment</w:t>
      </w:r>
      <w:r w:rsidR="0098644B">
        <w:t xml:space="preserve"> (more than repla</w:t>
      </w:r>
      <w:r w:rsidR="0098644B">
        <w:t>c</w:t>
      </w:r>
      <w:r w:rsidR="0098644B">
        <w:t xml:space="preserve">ing </w:t>
      </w:r>
      <w:r w:rsidR="0098644B">
        <w:rPr>
          <w:b/>
        </w:rPr>
        <w:t>K</w:t>
      </w:r>
      <w:r w:rsidR="0098644B">
        <w:t xml:space="preserve"> lost to depreciation)</w:t>
      </w:r>
      <w:r>
        <w:t>.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contrast,</w:t>
      </w:r>
      <w:r w:rsidR="00B71607" w:rsidRPr="00B71607">
        <w:t xml:space="preserve"> </w:t>
      </w:r>
      <w:r>
        <w:t>falling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low</w:t>
      </w:r>
      <w:r w:rsidR="00B71607" w:rsidRPr="00B71607">
        <w:t xml:space="preserve"> </w:t>
      </w:r>
      <w:r>
        <w:t>expected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>
        <w:t>and/or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lastRenderedPageBreak/>
        <w:t>equipment</w:t>
      </w:r>
      <w:r w:rsidR="00B71607" w:rsidRPr="00B71607">
        <w:t xml:space="preserve"> </w:t>
      </w:r>
      <w:r>
        <w:t>coming</w:t>
      </w:r>
      <w:r w:rsidR="00B71607" w:rsidRPr="00B71607">
        <w:t xml:space="preserve"> </w:t>
      </w:r>
      <w:r>
        <w:t>on</w:t>
      </w:r>
      <w:r w:rsidR="00B71607" w:rsidRPr="00B71607">
        <w:t xml:space="preserve"> </w:t>
      </w:r>
      <w:r>
        <w:t>line</w:t>
      </w:r>
      <w:r w:rsidR="00B71607" w:rsidRPr="00B71607">
        <w:t xml:space="preserve"> </w:t>
      </w:r>
      <w:r>
        <w:t>too</w:t>
      </w:r>
      <w:r w:rsidR="00B71607" w:rsidRPr="00B71607">
        <w:t xml:space="preserve"> </w:t>
      </w:r>
      <w:r>
        <w:t>late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>
        <w:t>surviving</w:t>
      </w:r>
      <w:r w:rsidR="00B71607" w:rsidRPr="00B71607">
        <w:t xml:space="preserve"> </w:t>
      </w:r>
      <w:r>
        <w:t>depreciation</w:t>
      </w:r>
      <w:r w:rsidR="00B71607" w:rsidRPr="00B71607">
        <w:t xml:space="preserve"> </w:t>
      </w:r>
      <w:r>
        <w:t>“too</w:t>
      </w:r>
      <w:r w:rsidR="00B71607" w:rsidRPr="00B71607">
        <w:t xml:space="preserve"> </w:t>
      </w:r>
      <w:r>
        <w:t>long”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>
        <w:t>cause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overhang,</w:t>
      </w:r>
      <w:r w:rsidR="00B71607" w:rsidRPr="00B71607">
        <w:t xml:space="preserve"> </w:t>
      </w:r>
      <w:r>
        <w:t>i.e.,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t>negative</w:t>
      </w:r>
      <w:r w:rsidR="00B71607" w:rsidRPr="00B71607">
        <w:t xml:space="preserve"> </w:t>
      </w:r>
      <w:r>
        <w:t>capital</w:t>
      </w:r>
      <w:r w:rsidR="00B71607" w:rsidRPr="00B71607">
        <w:t xml:space="preserve"> </w:t>
      </w:r>
      <w:r>
        <w:t>gap</w:t>
      </w:r>
      <w:r w:rsidR="00B71607" w:rsidRPr="00B71607">
        <w:t xml:space="preserve"> </w:t>
      </w:r>
      <w:r>
        <w:t>(</w:t>
      </w:r>
      <w:r>
        <w:rPr>
          <w:b/>
        </w:rPr>
        <w:t>K</w:t>
      </w:r>
      <w:r w:rsidR="00AC169F" w:rsidRPr="00AC169F">
        <w:rPr>
          <w:b/>
          <w:caps/>
          <w:vertAlign w:val="superscript"/>
        </w:rPr>
        <w:t>D</w:t>
      </w:r>
      <w:r w:rsidR="00B71607" w:rsidRPr="00B71607">
        <w:t xml:space="preserve"> </w:t>
      </w:r>
      <w:r>
        <w:t>&lt;</w:t>
      </w:r>
      <w:r w:rsidR="00B71607" w:rsidRPr="00B71607">
        <w:t xml:space="preserve"> </w:t>
      </w:r>
      <w:r>
        <w:rPr>
          <w:b/>
        </w:rPr>
        <w:t>K</w:t>
      </w:r>
      <w:r>
        <w:rPr>
          <w:b/>
          <w:smallCaps/>
          <w:vertAlign w:val="subscript"/>
        </w:rPr>
        <w:t>–1</w:t>
      </w:r>
      <w:r>
        <w:t>)</w:t>
      </w:r>
      <w:r w:rsidR="005D352C">
        <w:t xml:space="preserve">. This may have been </w:t>
      </w:r>
      <w:r w:rsidR="00314EC9">
        <w:t xml:space="preserve">seen on the macro level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U.S.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2001</w:t>
      </w:r>
      <w:r w:rsidR="00314EC9">
        <w:t xml:space="preserve"> (</w:t>
      </w:r>
      <w:r w:rsidR="00314EC9">
        <w:rPr>
          <w:u w:val="single"/>
        </w:rPr>
        <w:t>Economic</w:t>
      </w:r>
      <w:r w:rsidR="00314EC9" w:rsidRPr="00B71607">
        <w:rPr>
          <w:u w:val="single"/>
        </w:rPr>
        <w:t xml:space="preserve"> </w:t>
      </w:r>
      <w:r w:rsidR="00314EC9">
        <w:rPr>
          <w:u w:val="single"/>
        </w:rPr>
        <w:t>Report</w:t>
      </w:r>
      <w:r w:rsidR="00314EC9" w:rsidRPr="00B71607">
        <w:rPr>
          <w:u w:val="single"/>
        </w:rPr>
        <w:t xml:space="preserve"> </w:t>
      </w:r>
      <w:r w:rsidR="00314EC9">
        <w:rPr>
          <w:u w:val="single"/>
        </w:rPr>
        <w:t>of</w:t>
      </w:r>
      <w:r w:rsidR="00314EC9" w:rsidRPr="00B71607">
        <w:rPr>
          <w:u w:val="single"/>
        </w:rPr>
        <w:t xml:space="preserve"> </w:t>
      </w:r>
      <w:r w:rsidR="00314EC9">
        <w:rPr>
          <w:u w:val="single"/>
        </w:rPr>
        <w:t>the</w:t>
      </w:r>
      <w:r w:rsidR="00314EC9" w:rsidRPr="00B71607">
        <w:rPr>
          <w:u w:val="single"/>
        </w:rPr>
        <w:t xml:space="preserve"> </w:t>
      </w:r>
      <w:r w:rsidR="00314EC9">
        <w:rPr>
          <w:u w:val="single"/>
        </w:rPr>
        <w:t>President</w:t>
      </w:r>
      <w:r w:rsidR="00314EC9">
        <w:t>,</w:t>
      </w:r>
      <w:r w:rsidR="00314EC9" w:rsidRPr="00B71607">
        <w:t xml:space="preserve"> </w:t>
      </w:r>
      <w:r w:rsidR="00314EC9">
        <w:rPr>
          <w:u w:val="single"/>
        </w:rPr>
        <w:t>2002</w:t>
      </w:r>
      <w:r w:rsidR="00314EC9">
        <w:t>,</w:t>
      </w:r>
      <w:r w:rsidR="00314EC9" w:rsidRPr="00B71607">
        <w:t xml:space="preserve"> </w:t>
      </w:r>
      <w:r w:rsidR="00314EC9">
        <w:t>pp.</w:t>
      </w:r>
      <w:r w:rsidR="00314EC9" w:rsidRPr="00B71607">
        <w:t xml:space="preserve"> </w:t>
      </w:r>
      <w:r w:rsidR="00314EC9">
        <w:t>39-40)</w:t>
      </w:r>
      <w:r>
        <w:t>.</w:t>
      </w:r>
      <w:r>
        <w:rPr>
          <w:rStyle w:val="EndnoteReference"/>
          <w:b/>
          <w:smallCaps/>
        </w:rPr>
        <w:endnoteReference w:id="20"/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 w:rsidR="005D352C">
        <w:t xml:space="preserve">type of gap </w:t>
      </w:r>
      <w:r w:rsidR="001939AB">
        <w:t>implies</w:t>
      </w:r>
      <w:r w:rsidR="00B71607" w:rsidRPr="00B71607">
        <w:t xml:space="preserve"> </w:t>
      </w:r>
      <w:r>
        <w:t>negative</w:t>
      </w:r>
      <w:r w:rsidR="00B71607" w:rsidRPr="00B71607">
        <w:t xml:space="preserve"> </w:t>
      </w:r>
      <w:r>
        <w:t>desired</w:t>
      </w:r>
      <w:r w:rsidR="00B71607" w:rsidRPr="00B71607">
        <w:t xml:space="preserve"> </w:t>
      </w:r>
      <w:r>
        <w:t>net</w:t>
      </w:r>
      <w:r w:rsidR="00B71607" w:rsidRPr="00B71607">
        <w:t xml:space="preserve"> </w:t>
      </w:r>
      <w:r>
        <w:t>investment</w:t>
      </w:r>
      <w:r w:rsidR="00314EC9">
        <w:t xml:space="preserve">: the RF </w:t>
      </w:r>
      <w:r>
        <w:t>refrain</w:t>
      </w:r>
      <w:r w:rsidR="00314EC9">
        <w:t>s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doing</w:t>
      </w:r>
      <w:r w:rsidR="00B71607" w:rsidRPr="00B71607">
        <w:t xml:space="preserve"> </w:t>
      </w:r>
      <w:r>
        <w:t>some</w:t>
      </w:r>
      <w:r w:rsidR="00B71607" w:rsidRPr="00B71607">
        <w:t xml:space="preserve"> </w:t>
      </w:r>
      <w:r>
        <w:t>replacement</w:t>
      </w:r>
      <w:r w:rsidR="00B71607" w:rsidRPr="00B71607">
        <w:t xml:space="preserve"> </w:t>
      </w:r>
      <w:r>
        <w:t>investment</w:t>
      </w:r>
      <w:r w:rsidR="00B71607" w:rsidRPr="00B71607">
        <w:t xml:space="preserve"> </w:t>
      </w:r>
      <w:r>
        <w:t>required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cover</w:t>
      </w:r>
      <w:r w:rsidR="00B71607" w:rsidRPr="00B71607">
        <w:t xml:space="preserve"> </w:t>
      </w:r>
      <w:r w:rsidR="00671127">
        <w:t xml:space="preserve">physical </w:t>
      </w:r>
      <w:r>
        <w:t>depreciation</w:t>
      </w:r>
      <w:r w:rsidR="00B71607" w:rsidRPr="00B71607">
        <w:t xml:space="preserve"> </w:t>
      </w:r>
      <w:r>
        <w:t>costs.</w:t>
      </w:r>
      <w:r w:rsidR="00487DBE">
        <w:rPr>
          <w:rStyle w:val="EndnoteReference"/>
        </w:rPr>
        <w:endnoteReference w:id="21"/>
      </w:r>
    </w:p>
    <w:p w:rsidR="00C31F28" w:rsidRDefault="00F0548D" w:rsidP="00C31F28">
      <w:r>
        <w:t>I</w:t>
      </w:r>
      <w:r w:rsidR="00AB09B3">
        <w:t xml:space="preserve">n a dynamic world, </w:t>
      </w:r>
      <w:r w:rsidR="005D352C">
        <w:t xml:space="preserve">of course, </w:t>
      </w:r>
      <w:r w:rsidR="00AB09B3">
        <w:t>f</w:t>
      </w:r>
      <w:r w:rsidR="00C31F28">
        <w:t>irms</w:t>
      </w:r>
      <w:r w:rsidR="00B71607" w:rsidRPr="00B71607">
        <w:t xml:space="preserve"> </w:t>
      </w:r>
      <w:r w:rsidR="00C31F28">
        <w:t>rarely</w:t>
      </w:r>
      <w:r w:rsidR="00B71607" w:rsidRPr="00B71607">
        <w:t xml:space="preserve"> </w:t>
      </w:r>
      <w:r w:rsidR="00C31F28">
        <w:t>realize</w:t>
      </w:r>
      <w:r w:rsidR="00B71607" w:rsidRPr="00B71607">
        <w:t xml:space="preserve"> </w:t>
      </w:r>
      <w:r w:rsidR="00C31F28">
        <w:t>their</w:t>
      </w:r>
      <w:r w:rsidR="00B71607" w:rsidRPr="00B71607">
        <w:t xml:space="preserve"> </w:t>
      </w:r>
      <w:r w:rsidR="00C31F28">
        <w:t>desires:</w:t>
      </w:r>
      <w:r w:rsidR="00B71607" w:rsidRPr="00B71607">
        <w:t xml:space="preserve"> </w:t>
      </w:r>
      <w:r w:rsidR="00C31F28">
        <w:rPr>
          <w:i/>
        </w:rPr>
        <w:t>actual</w:t>
      </w:r>
      <w:r w:rsidR="00B71607" w:rsidRPr="00B71607">
        <w:t xml:space="preserve"> </w:t>
      </w:r>
      <w:r w:rsidR="00C31F28">
        <w:t>planned</w:t>
      </w:r>
      <w:r w:rsidR="00B71607" w:rsidRPr="00B71607">
        <w:t xml:space="preserve"> </w:t>
      </w:r>
      <w:r w:rsidR="00C31F28">
        <w:t>investment</w:t>
      </w:r>
      <w:r w:rsidR="00B71607" w:rsidRPr="00B71607">
        <w:t xml:space="preserve"> </w:t>
      </w:r>
      <w:r w:rsidR="00E5106F">
        <w:t>spending</w:t>
      </w:r>
      <w:r w:rsidR="00B71607" w:rsidRPr="00B71607">
        <w:t xml:space="preserve"> </w:t>
      </w:r>
      <w:r w:rsidR="00C31F28">
        <w:t>(</w:t>
      </w:r>
      <w:r w:rsidR="00E5106F">
        <w:rPr>
          <w:b/>
        </w:rPr>
        <w:t>I</w:t>
      </w:r>
      <w:r w:rsidR="00C31F28">
        <w:t>)</w:t>
      </w:r>
      <w:r w:rsidR="00B71607" w:rsidRPr="00B71607">
        <w:t xml:space="preserve"> </w:t>
      </w:r>
      <w:r w:rsidR="00C31F28">
        <w:t>depends</w:t>
      </w:r>
      <w:r w:rsidR="00B71607" w:rsidRPr="00B71607">
        <w:t xml:space="preserve"> </w:t>
      </w:r>
      <w:r w:rsidR="00C31F28">
        <w:t>on</w:t>
      </w:r>
      <w:r w:rsidR="00B71607" w:rsidRPr="00B71607">
        <w:t xml:space="preserve"> </w:t>
      </w:r>
      <w:r w:rsidR="00C31F28">
        <w:t>supply-side</w:t>
      </w:r>
      <w:r w:rsidR="00B71607" w:rsidRPr="00B71607">
        <w:t xml:space="preserve"> </w:t>
      </w:r>
      <w:r w:rsidR="00C31F28">
        <w:t>bottlenecks</w:t>
      </w:r>
      <w:r w:rsidR="00B71607" w:rsidRPr="00B71607">
        <w:t xml:space="preserve"> </w:t>
      </w:r>
      <w:r w:rsidR="00C31F28">
        <w:t>in</w:t>
      </w:r>
      <w:r w:rsidR="00B71607" w:rsidRPr="00B71607">
        <w:t xml:space="preserve"> </w:t>
      </w:r>
      <w:r>
        <w:t xml:space="preserve">the production, </w:t>
      </w:r>
      <w:r w:rsidR="00C31F28">
        <w:t>provision</w:t>
      </w:r>
      <w:r>
        <w:t>,</w:t>
      </w:r>
      <w:r w:rsidR="00B71607" w:rsidRPr="00B71607">
        <w:t xml:space="preserve"> </w:t>
      </w:r>
      <w:r w:rsidR="003B62CB">
        <w:t>and install</w:t>
      </w:r>
      <w:r w:rsidR="003B62CB">
        <w:t>a</w:t>
      </w:r>
      <w:r w:rsidR="003B62CB">
        <w:t xml:space="preserve">tion </w:t>
      </w:r>
      <w:r w:rsidR="00C31F28">
        <w:t>of</w:t>
      </w:r>
      <w:r w:rsidR="00B71607" w:rsidRPr="00B71607">
        <w:t xml:space="preserve"> </w:t>
      </w:r>
      <w:r w:rsidR="00C31F28">
        <w:t>new</w:t>
      </w:r>
      <w:r w:rsidR="00B71607" w:rsidRPr="00B71607">
        <w:t xml:space="preserve"> </w:t>
      </w:r>
      <w:r w:rsidR="00C31F28">
        <w:t>capital</w:t>
      </w:r>
      <w:r w:rsidR="00B71607" w:rsidRPr="00B71607">
        <w:t xml:space="preserve"> </w:t>
      </w:r>
      <w:r w:rsidR="00C31F28">
        <w:t>goods</w:t>
      </w:r>
      <w:r w:rsidR="00B71607" w:rsidRPr="00B71607">
        <w:t xml:space="preserve"> </w:t>
      </w:r>
      <w:r w:rsidR="00C31F28">
        <w:t>or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costs</w:t>
      </w:r>
      <w:r w:rsidR="00B71607" w:rsidRPr="00B71607">
        <w:t xml:space="preserve"> </w:t>
      </w:r>
      <w:r w:rsidR="00C31F28">
        <w:t>of</w:t>
      </w:r>
      <w:r w:rsidR="00B71607" w:rsidRPr="00B71607">
        <w:t xml:space="preserve"> </w:t>
      </w:r>
      <w:r w:rsidR="00C31F28">
        <w:t>cancelling</w:t>
      </w:r>
      <w:r w:rsidR="00B71607" w:rsidRPr="00B71607">
        <w:t xml:space="preserve"> </w:t>
      </w:r>
      <w:r w:rsidR="00C31F28">
        <w:t>their</w:t>
      </w:r>
      <w:r w:rsidR="00B71607" w:rsidRPr="00B71607">
        <w:t xml:space="preserve"> </w:t>
      </w:r>
      <w:r w:rsidR="00C31F28">
        <w:t>delivery</w:t>
      </w:r>
      <w:r w:rsidR="00B71607" w:rsidRPr="00B71607">
        <w:t xml:space="preserve"> </w:t>
      </w:r>
      <w:r w:rsidR="00C31F28">
        <w:t>and</w:t>
      </w:r>
      <w:r w:rsidR="00B71607" w:rsidRPr="00B71607">
        <w:t xml:space="preserve"> </w:t>
      </w:r>
      <w:r w:rsidR="00C31F28">
        <w:t>installation</w:t>
      </w:r>
      <w:r w:rsidR="00B71607" w:rsidRPr="00B71607">
        <w:t xml:space="preserve"> </w:t>
      </w:r>
      <w:r w:rsidR="00C31F28">
        <w:t>once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process</w:t>
      </w:r>
      <w:r w:rsidR="00B71607" w:rsidRPr="00B71607">
        <w:t xml:space="preserve"> </w:t>
      </w:r>
      <w:r w:rsidR="00C31F28">
        <w:t>has</w:t>
      </w:r>
      <w:r w:rsidR="00B71607" w:rsidRPr="00B71607">
        <w:t xml:space="preserve"> </w:t>
      </w:r>
      <w:r w:rsidR="00C31F28">
        <w:t>begun.</w:t>
      </w:r>
      <w:r w:rsidR="001B7838">
        <w:t xml:space="preserve"> In addition, Kalecki’s</w:t>
      </w:r>
      <w:r>
        <w:t xml:space="preserve"> (1937) </w:t>
      </w:r>
      <w:r w:rsidR="001B7838">
        <w:t>principle of increasing risk discourages the RF from plunging forward to fill the capital gap completely.</w:t>
      </w:r>
      <w:r w:rsidR="005A5248">
        <w:t xml:space="preserve"> </w:t>
      </w:r>
      <w:r w:rsidR="001B7838">
        <w:t>In sum</w:t>
      </w:r>
      <w:r w:rsidR="00C31F28">
        <w:t>,</w:t>
      </w:r>
      <w:r w:rsidR="00B71607" w:rsidRPr="00B71607">
        <w:t xml:space="preserve"> </w:t>
      </w:r>
      <w:r w:rsidR="00316715">
        <w:rPr>
          <w:b/>
        </w:rPr>
        <w:t>I</w:t>
      </w:r>
      <w:r w:rsidR="00316715">
        <w:t xml:space="preserve"> </w:t>
      </w:r>
      <w:r>
        <w:t xml:space="preserve">is </w:t>
      </w:r>
      <w:r w:rsidR="001B7838">
        <w:t xml:space="preserve">described as </w:t>
      </w:r>
      <w:r w:rsidR="00C31F28">
        <w:t>partly</w:t>
      </w:r>
      <w:r w:rsidR="00B71607" w:rsidRPr="00B71607">
        <w:t xml:space="preserve"> </w:t>
      </w:r>
      <w:r w:rsidR="00C31F28">
        <w:t>determined</w:t>
      </w:r>
      <w:r w:rsidR="00B71607" w:rsidRPr="00B71607">
        <w:t xml:space="preserve"> </w:t>
      </w:r>
      <w:r w:rsidR="00C31F28">
        <w:t>by</w:t>
      </w:r>
      <w:r w:rsidR="00B71607" w:rsidRPr="00B71607">
        <w:t xml:space="preserve"> </w:t>
      </w:r>
      <w:r w:rsidR="00D27F2D">
        <w:t xml:space="preserve">real or </w:t>
      </w:r>
      <w:r w:rsidR="001F1AC1">
        <w:t xml:space="preserve">perceived </w:t>
      </w:r>
      <w:r w:rsidR="00C31F28">
        <w:t>adjustment</w:t>
      </w:r>
      <w:r w:rsidR="00B71607" w:rsidRPr="00B71607">
        <w:t xml:space="preserve"> </w:t>
      </w:r>
      <w:r w:rsidR="00C31F28">
        <w:t>costs,</w:t>
      </w:r>
      <w:r w:rsidR="00B71607" w:rsidRPr="00B71607">
        <w:t xml:space="preserve"> </w:t>
      </w:r>
      <w:r w:rsidR="00C31F28">
        <w:t>which</w:t>
      </w:r>
      <w:r w:rsidR="00B71607" w:rsidRPr="00B71607">
        <w:t xml:space="preserve"> </w:t>
      </w:r>
      <w:r w:rsidR="00C31F28">
        <w:t>move</w:t>
      </w:r>
      <w:r w:rsidR="00B71607" w:rsidRPr="00B71607">
        <w:t xml:space="preserve"> </w:t>
      </w:r>
      <w:r w:rsidR="00C31F28">
        <w:t>inversely</w:t>
      </w:r>
      <w:r w:rsidR="00B71607" w:rsidRPr="00B71607">
        <w:t xml:space="preserve"> </w:t>
      </w:r>
      <w:r w:rsidR="00C31F28">
        <w:t>with</w:t>
      </w:r>
      <w:r w:rsidR="00B71607" w:rsidRPr="00B71607">
        <w:t xml:space="preserve"> </w:t>
      </w:r>
      <w:r w:rsidR="00C31F28">
        <w:t>the</w:t>
      </w:r>
      <w:r w:rsidR="00B71607" w:rsidRPr="00B71607">
        <w:t xml:space="preserve"> </w:t>
      </w:r>
      <w:r w:rsidR="00C31F28">
        <w:t>adjus</w:t>
      </w:r>
      <w:r w:rsidR="00C31F28">
        <w:t>t</w:t>
      </w:r>
      <w:r w:rsidR="00C31F28">
        <w:t>ment</w:t>
      </w:r>
      <w:r w:rsidR="00B71607" w:rsidRPr="00B71607">
        <w:t xml:space="preserve"> </w:t>
      </w:r>
      <w:r w:rsidR="00C31F28">
        <w:t>coefficient</w:t>
      </w:r>
      <w:r w:rsidR="00B71607" w:rsidRPr="00B71607">
        <w:t xml:space="preserve"> </w:t>
      </w:r>
      <w:r w:rsidR="00C31F28">
        <w:t>(</w:t>
      </w:r>
      <w:r w:rsidR="00C31F28">
        <w:rPr>
          <w:b/>
          <w:i/>
        </w:rPr>
        <w:t>θ</w:t>
      </w:r>
      <w:r w:rsidR="005C19EE">
        <w:t>)</w:t>
      </w:r>
      <w:r w:rsidR="00623B17">
        <w:t xml:space="preserve">, </w:t>
      </w:r>
      <w:r w:rsidR="005D352C">
        <w:t xml:space="preserve">which is </w:t>
      </w:r>
      <w:r w:rsidR="00623B17">
        <w:t>assumed to be constant in the HMR</w:t>
      </w:r>
      <w:r w:rsidR="005C19EE">
        <w:t>. Th</w:t>
      </w:r>
      <w:r w:rsidR="0026136B">
        <w:t>us,</w:t>
      </w:r>
      <w:r w:rsidR="005C19EE">
        <w:t xml:space="preserve"> </w:t>
      </w:r>
      <w:r w:rsidR="00E5106F">
        <w:rPr>
          <w:b/>
        </w:rPr>
        <w:t>I</w:t>
      </w:r>
      <w:r w:rsidR="00B71607" w:rsidRPr="00B71607">
        <w:rPr>
          <w:rFonts w:eastAsiaTheme="minorEastAsia"/>
        </w:rPr>
        <w:t xml:space="preserve"> </w:t>
      </w:r>
      <w:r w:rsidR="00C31F28">
        <w:t>=</w:t>
      </w:r>
      <w:r w:rsidR="00B71607" w:rsidRPr="00B71607">
        <w:t xml:space="preserve"> </w:t>
      </w:r>
      <w:proofErr w:type="spellStart"/>
      <w:r w:rsidR="00C31F28">
        <w:rPr>
          <w:b/>
          <w:i/>
        </w:rPr>
        <w:t>θ</w:t>
      </w:r>
      <w:r w:rsidR="00C31F28">
        <w:t>·</w:t>
      </w:r>
      <w:r w:rsidR="00C31F28">
        <w:rPr>
          <w:b/>
        </w:rPr>
        <w:t>I</w:t>
      </w:r>
      <w:r w:rsidR="00AC169F" w:rsidRPr="00AC169F">
        <w:rPr>
          <w:b/>
          <w:caps/>
          <w:vertAlign w:val="superscript"/>
        </w:rPr>
        <w:t>D</w:t>
      </w:r>
      <w:proofErr w:type="spellEnd"/>
      <w:r w:rsidR="005A5248">
        <w:rPr>
          <w:b/>
          <w:caps/>
          <w:vertAlign w:val="superscript"/>
        </w:rPr>
        <w:t xml:space="preserve"> </w:t>
      </w:r>
      <w:r w:rsidR="0026136B">
        <w:t>and:</w:t>
      </w:r>
      <w:r w:rsidR="00B71607" w:rsidRPr="00B71607">
        <w:t xml:space="preserve"> </w:t>
      </w:r>
    </w:p>
    <w:tbl>
      <w:tblPr>
        <w:tblStyle w:val="TableGrid"/>
        <w:tblW w:w="8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682"/>
      </w:tblGrid>
      <w:tr w:rsidR="00C31F28" w:rsidTr="00B71607">
        <w:trPr>
          <w:jc w:val="center"/>
        </w:trPr>
        <w:tc>
          <w:tcPr>
            <w:tcW w:w="8234" w:type="dxa"/>
            <w:hideMark/>
          </w:tcPr>
          <w:p w:rsidR="00C31F28" w:rsidRDefault="00E5106F" w:rsidP="00B71607">
            <w:pPr>
              <w:jc w:val="center"/>
            </w:pPr>
            <w:r>
              <w:rPr>
                <w:b/>
              </w:rPr>
              <w:t>I</w:t>
            </w:r>
            <w:r w:rsidR="00B71607" w:rsidRPr="00B71607">
              <w:t xml:space="preserve"> </w:t>
            </w:r>
            <w:r w:rsidR="00C31F28">
              <w:t>=</w:t>
            </w:r>
            <w:r w:rsidR="00B71607" w:rsidRPr="00B71607">
              <w:t xml:space="preserve"> </w:t>
            </w:r>
            <w:r w:rsidR="00C31F28">
              <w:rPr>
                <w:b/>
                <w:i/>
              </w:rPr>
              <w:t>θ</w:t>
            </w:r>
            <w:r w:rsidR="00C31F28">
              <w:t>·[</w:t>
            </w:r>
            <w:r w:rsidR="00C31F28">
              <w:rPr>
                <w:b/>
                <w:i/>
              </w:rPr>
              <w:t>c</w:t>
            </w:r>
            <w:r w:rsidR="00C31F28">
              <w:t>·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Y</m:t>
                  </m:r>
                </m:e>
              </m:acc>
            </m:oMath>
            <w:r w:rsidR="00B71607" w:rsidRPr="00B71607">
              <w:rPr>
                <w:sz w:val="20"/>
              </w:rPr>
              <w:t xml:space="preserve"> </w:t>
            </w:r>
            <w:r w:rsidR="00C31F28">
              <w:rPr>
                <w:sz w:val="20"/>
              </w:rPr>
              <w:t>–</w:t>
            </w:r>
            <w:r w:rsidR="00B71607" w:rsidRPr="00B71607">
              <w:rPr>
                <w:sz w:val="20"/>
              </w:rPr>
              <w:t xml:space="preserve"> </w:t>
            </w:r>
            <w:r w:rsidR="00C31F28">
              <w:rPr>
                <w:b/>
              </w:rPr>
              <w:t>K</w:t>
            </w:r>
            <w:r w:rsidR="00C31F28">
              <w:rPr>
                <w:b/>
                <w:smallCaps/>
                <w:vertAlign w:val="subscript"/>
              </w:rPr>
              <w:t>–1</w:t>
            </w:r>
            <w:r w:rsidR="00C31F28" w:rsidRPr="00AC6959">
              <w:rPr>
                <w:rFonts w:eastAsia="Times New Roman" w:cs="Times New Roman"/>
                <w:szCs w:val="28"/>
              </w:rPr>
              <w:t>]</w:t>
            </w:r>
            <w:r w:rsidR="00B71607" w:rsidRPr="00B71607">
              <w:rPr>
                <w:rFonts w:eastAsia="Times New Roman" w:cs="Times New Roman"/>
                <w:szCs w:val="28"/>
              </w:rPr>
              <w:t xml:space="preserve"> </w:t>
            </w:r>
            <w:r w:rsidR="000A57F9">
              <w:rPr>
                <w:color w:val="FFFFFF" w:themeColor="background1"/>
              </w:rPr>
              <w:t>_</w:t>
            </w:r>
            <w:r w:rsidR="00B71607" w:rsidRPr="00B71607">
              <w:rPr>
                <w:color w:val="FFFFFF" w:themeColor="background1"/>
              </w:rPr>
              <w:t xml:space="preserve"> </w:t>
            </w:r>
            <w:r w:rsidR="00C31F28">
              <w:t>with</w:t>
            </w:r>
            <w:r w:rsidR="00B71607" w:rsidRPr="00B71607">
              <w:t xml:space="preserve"> </w:t>
            </w:r>
            <w:r w:rsidR="00C31F28">
              <w:t>1</w:t>
            </w:r>
            <w:r w:rsidR="00B71607" w:rsidRPr="00B71607">
              <w:t xml:space="preserve"> </w:t>
            </w:r>
            <w:r w:rsidR="00C31F28">
              <w:t>≥</w:t>
            </w:r>
            <w:r w:rsidR="00B71607" w:rsidRPr="00B71607">
              <w:t xml:space="preserve"> </w:t>
            </w:r>
            <w:r w:rsidR="00C31F28">
              <w:rPr>
                <w:b/>
                <w:i/>
              </w:rPr>
              <w:t>θ</w:t>
            </w:r>
            <w:r w:rsidR="00B71607" w:rsidRPr="00B71607">
              <w:t xml:space="preserve"> </w:t>
            </w:r>
            <w:r w:rsidR="00C31F28">
              <w:t>&gt;</w:t>
            </w:r>
            <w:r w:rsidR="00B71607" w:rsidRPr="00B71607">
              <w:t xml:space="preserve"> </w:t>
            </w:r>
            <w:r w:rsidR="00C31F28">
              <w:t>0</w:t>
            </w:r>
            <w:r w:rsidR="00B71607" w:rsidRPr="00B71607">
              <w:t xml:space="preserve"> </w:t>
            </w:r>
          </w:p>
        </w:tc>
        <w:tc>
          <w:tcPr>
            <w:tcW w:w="682" w:type="dxa"/>
          </w:tcPr>
          <w:p w:rsidR="00C31F28" w:rsidRPr="002D1EDD" w:rsidRDefault="008501D8" w:rsidP="00B71607">
            <w:pPr>
              <w:pStyle w:val="H4"/>
              <w:numPr>
                <w:ilvl w:val="0"/>
                <w:numId w:val="0"/>
              </w:numPr>
              <w:outlineLvl w:val="9"/>
            </w:pPr>
            <w:bookmarkStart w:id="16" w:name="_Ref412897368"/>
            <w:bookmarkStart w:id="17" w:name="_Ref408155558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4</w:t>
            </w:r>
            <w:r w:rsidR="00321870">
              <w:rPr>
                <w:noProof/>
              </w:rPr>
              <w:fldChar w:fldCharType="end"/>
            </w:r>
            <w:bookmarkEnd w:id="16"/>
            <w:r w:rsidR="00C31F28">
              <w:t>)</w:t>
            </w:r>
            <w:bookmarkEnd w:id="17"/>
          </w:p>
        </w:tc>
      </w:tr>
    </w:tbl>
    <w:p w:rsidR="0055154C" w:rsidRPr="00720431" w:rsidRDefault="00375E02" w:rsidP="00C31F28">
      <w:r>
        <w:rPr>
          <w:b/>
        </w:rPr>
        <w:t xml:space="preserve">(b) </w:t>
      </w:r>
      <w:r w:rsidR="00FD52FB">
        <w:t xml:space="preserve">Next, to </w:t>
      </w:r>
      <w:r w:rsidR="00C31F28">
        <w:t>define</w:t>
      </w:r>
      <w:r w:rsidR="00B71607" w:rsidRPr="00B71607">
        <w:t xml:space="preserve"> </w:t>
      </w:r>
      <w:r w:rsidR="00C31F28">
        <w:t>what’s</w:t>
      </w:r>
      <w:r w:rsidR="00B71607" w:rsidRPr="00B71607">
        <w:t xml:space="preserve"> </w:t>
      </w:r>
      <w:r w:rsidR="00C31F28">
        <w:t>meant</w:t>
      </w:r>
      <w:r w:rsidR="00B71607" w:rsidRPr="00B71607">
        <w:t xml:space="preserve"> </w:t>
      </w:r>
      <w:r w:rsidR="00C31F28">
        <w:t>by</w:t>
      </w:r>
      <w:r w:rsidR="00B71607" w:rsidRPr="00B71607">
        <w:t xml:space="preserve"> </w:t>
      </w:r>
      <w:r w:rsidR="00C31F28">
        <w:t>everything</w:t>
      </w:r>
      <w:r w:rsidR="00B71607" w:rsidRPr="00B71607">
        <w:t xml:space="preserve"> </w:t>
      </w:r>
      <w:r w:rsidR="00C31F28">
        <w:t>“going</w:t>
      </w:r>
      <w:r w:rsidR="00B71607" w:rsidRPr="00B71607">
        <w:t xml:space="preserve"> </w:t>
      </w:r>
      <w:r w:rsidR="00F51F18">
        <w:t>right</w:t>
      </w:r>
      <w:r w:rsidR="00C31F28">
        <w:t>”</w:t>
      </w:r>
      <w:r w:rsidR="00B71607" w:rsidRPr="00B71607">
        <w:t xml:space="preserve"> </w:t>
      </w:r>
      <w:r w:rsidR="00F51F18">
        <w:t>(the</w:t>
      </w:r>
      <w:r w:rsidR="00923F3B">
        <w:t xml:space="preserve"> warranted growth path</w:t>
      </w:r>
      <w:r w:rsidR="00F51F18">
        <w:t>)</w:t>
      </w:r>
      <w:r w:rsidR="0026136B">
        <w:t xml:space="preserve"> in this flexible-accelerator world</w:t>
      </w:r>
      <w:r w:rsidR="00F51F18">
        <w:t xml:space="preserve">, </w:t>
      </w:r>
      <w:r w:rsidR="00840651">
        <w:t>add</w:t>
      </w:r>
      <w:r w:rsidR="00B71607" w:rsidRPr="00B71607">
        <w:t xml:space="preserve"> </w:t>
      </w:r>
      <w:r w:rsidR="00FD4D61">
        <w:t>four</w:t>
      </w:r>
      <w:r w:rsidR="00B71607" w:rsidRPr="00B71607">
        <w:t xml:space="preserve"> </w:t>
      </w:r>
      <w:r w:rsidR="00C31F28">
        <w:t>unrealistic</w:t>
      </w:r>
      <w:r w:rsidR="00B71607" w:rsidRPr="00B71607">
        <w:t xml:space="preserve"> </w:t>
      </w:r>
      <w:r w:rsidR="00C31F28">
        <w:t>assumptions</w:t>
      </w:r>
      <w:r w:rsidR="00B71607" w:rsidRPr="00B71607">
        <w:t xml:space="preserve"> </w:t>
      </w:r>
      <w:r w:rsidR="00840651">
        <w:t>to</w:t>
      </w:r>
      <w:r w:rsidR="00B71607" w:rsidRPr="00B71607">
        <w:t xml:space="preserve"> </w:t>
      </w:r>
      <w:r w:rsidR="00840651">
        <w:t>equation</w:t>
      </w:r>
      <w:r w:rsidR="00B71607" w:rsidRPr="00B71607">
        <w:t xml:space="preserve"> </w:t>
      </w:r>
      <w:r w:rsidR="00840651">
        <w:fldChar w:fldCharType="begin"/>
      </w:r>
      <w:r w:rsidR="00840651">
        <w:instrText xml:space="preserve"> REF _Ref412897368 \h </w:instrText>
      </w:r>
      <w:r w:rsidR="00840651">
        <w:fldChar w:fldCharType="separate"/>
      </w:r>
      <w:r w:rsidR="00292438">
        <w:t>(</w:t>
      </w:r>
      <w:r w:rsidR="00292438">
        <w:rPr>
          <w:noProof/>
        </w:rPr>
        <w:t>4</w:t>
      </w:r>
      <w:r w:rsidR="00840651">
        <w:fldChar w:fldCharType="end"/>
      </w:r>
      <w:r w:rsidR="00840651">
        <w:t>)</w:t>
      </w:r>
      <w:r w:rsidR="00C31F28">
        <w:rPr>
          <w:color w:val="000000"/>
        </w:rPr>
        <w:t>.</w:t>
      </w:r>
      <w:r w:rsidR="00B71607" w:rsidRPr="00B71607">
        <w:rPr>
          <w:color w:val="000000"/>
        </w:rPr>
        <w:t xml:space="preserve"> </w:t>
      </w:r>
      <w:r w:rsidR="00E54B83">
        <w:rPr>
          <w:color w:val="000000"/>
        </w:rPr>
        <w:t xml:space="preserve">These are </w:t>
      </w:r>
      <w:r w:rsidR="00E2638B">
        <w:rPr>
          <w:color w:val="000000"/>
        </w:rPr>
        <w:t xml:space="preserve">akin </w:t>
      </w:r>
      <w:r w:rsidR="00E54B83">
        <w:rPr>
          <w:color w:val="000000"/>
        </w:rPr>
        <w:t>to those normal</w:t>
      </w:r>
      <w:r w:rsidR="00D85F39">
        <w:rPr>
          <w:color w:val="000000"/>
        </w:rPr>
        <w:t xml:space="preserve">ly made in </w:t>
      </w:r>
      <w:r w:rsidR="0038639C">
        <w:rPr>
          <w:color w:val="000000"/>
        </w:rPr>
        <w:t xml:space="preserve">models of the </w:t>
      </w:r>
      <w:r w:rsidR="00D85F39">
        <w:rPr>
          <w:color w:val="000000"/>
        </w:rPr>
        <w:t>new Classical</w:t>
      </w:r>
      <w:r w:rsidR="0038639C">
        <w:rPr>
          <w:color w:val="000000"/>
        </w:rPr>
        <w:t xml:space="preserve"> type</w:t>
      </w:r>
      <w:r w:rsidR="00E17704">
        <w:rPr>
          <w:color w:val="000000"/>
        </w:rPr>
        <w:t>. T</w:t>
      </w:r>
      <w:r w:rsidR="00D85F39">
        <w:rPr>
          <w:color w:val="000000"/>
        </w:rPr>
        <w:t xml:space="preserve">he </w:t>
      </w:r>
      <w:r w:rsidR="00B65D16">
        <w:rPr>
          <w:color w:val="000000"/>
        </w:rPr>
        <w:t xml:space="preserve">first two </w:t>
      </w:r>
      <w:r w:rsidR="00E17704">
        <w:rPr>
          <w:color w:val="000000"/>
        </w:rPr>
        <w:t>assum</w:t>
      </w:r>
      <w:r w:rsidR="00E17704">
        <w:rPr>
          <w:color w:val="000000"/>
        </w:rPr>
        <w:t>p</w:t>
      </w:r>
      <w:r w:rsidR="00E17704">
        <w:rPr>
          <w:color w:val="000000"/>
        </w:rPr>
        <w:t xml:space="preserve">tions </w:t>
      </w:r>
      <w:r w:rsidR="00B65D16">
        <w:rPr>
          <w:color w:val="000000"/>
        </w:rPr>
        <w:t>describe a</w:t>
      </w:r>
      <w:r w:rsidR="005B2069">
        <w:rPr>
          <w:color w:val="000000"/>
        </w:rPr>
        <w:t xml:space="preserve"> situation </w:t>
      </w:r>
      <w:r w:rsidR="00B65D16">
        <w:rPr>
          <w:color w:val="000000"/>
        </w:rPr>
        <w:t xml:space="preserve">in which </w:t>
      </w:r>
      <w:r w:rsidR="0055154C">
        <w:rPr>
          <w:color w:val="000000"/>
        </w:rPr>
        <w:t xml:space="preserve">the </w:t>
      </w:r>
      <w:r w:rsidR="00720431">
        <w:rPr>
          <w:color w:val="000000"/>
        </w:rPr>
        <w:t>RF</w:t>
      </w:r>
      <w:r w:rsidR="0055154C">
        <w:rPr>
          <w:color w:val="000000"/>
        </w:rPr>
        <w:t xml:space="preserve"> is </w:t>
      </w:r>
      <w:r w:rsidR="00B65D16">
        <w:rPr>
          <w:color w:val="000000"/>
        </w:rPr>
        <w:t xml:space="preserve">doing as well as </w:t>
      </w:r>
      <w:r w:rsidR="0055154C">
        <w:rPr>
          <w:color w:val="000000"/>
        </w:rPr>
        <w:t xml:space="preserve">it </w:t>
      </w:r>
      <w:r w:rsidR="00B65D16">
        <w:rPr>
          <w:color w:val="000000"/>
        </w:rPr>
        <w:t>can</w:t>
      </w:r>
      <w:r w:rsidR="00ED0F16">
        <w:rPr>
          <w:color w:val="000000"/>
        </w:rPr>
        <w:t xml:space="preserve">, </w:t>
      </w:r>
      <w:r w:rsidR="00F0548D">
        <w:rPr>
          <w:color w:val="000000"/>
        </w:rPr>
        <w:t xml:space="preserve">so that </w:t>
      </w:r>
      <w:r w:rsidR="00ED0F16">
        <w:rPr>
          <w:color w:val="000000"/>
        </w:rPr>
        <w:t>everything is “right” at the micro level</w:t>
      </w:r>
      <w:r w:rsidR="00B65D16">
        <w:rPr>
          <w:color w:val="000000"/>
        </w:rPr>
        <w:t>.</w:t>
      </w:r>
      <w:r w:rsidR="00E17704">
        <w:rPr>
          <w:color w:val="000000"/>
        </w:rPr>
        <w:t xml:space="preserve"> D</w:t>
      </w:r>
      <w:r w:rsidR="0055154C">
        <w:rPr>
          <w:color w:val="000000"/>
        </w:rPr>
        <w:t>ecision-making is “optimal”</w:t>
      </w:r>
      <w:r w:rsidR="00D85F39">
        <w:rPr>
          <w:color w:val="000000"/>
        </w:rPr>
        <w:t xml:space="preserve"> and of course</w:t>
      </w:r>
      <w:r w:rsidR="007273AC">
        <w:rPr>
          <w:color w:val="000000"/>
        </w:rPr>
        <w:t xml:space="preserve"> much better than in the real world of uncertainty and frictions</w:t>
      </w:r>
      <w:r w:rsidR="0055154C">
        <w:rPr>
          <w:color w:val="000000"/>
        </w:rPr>
        <w:t xml:space="preserve">. Then, the decision of the </w:t>
      </w:r>
      <w:r w:rsidR="00AC11DA">
        <w:rPr>
          <w:color w:val="000000"/>
        </w:rPr>
        <w:t xml:space="preserve">RF </w:t>
      </w:r>
      <w:r w:rsidR="00E54B83">
        <w:rPr>
          <w:color w:val="000000"/>
        </w:rPr>
        <w:t xml:space="preserve">(with no ability to coordinate decisions with other firms) </w:t>
      </w:r>
      <w:r w:rsidR="0055154C">
        <w:rPr>
          <w:color w:val="000000"/>
        </w:rPr>
        <w:t>is “</w:t>
      </w:r>
      <w:r w:rsidR="00ED0F16">
        <w:rPr>
          <w:color w:val="000000"/>
        </w:rPr>
        <w:t xml:space="preserve">scaled </w:t>
      </w:r>
      <w:r w:rsidR="0055154C">
        <w:rPr>
          <w:color w:val="000000"/>
        </w:rPr>
        <w:t xml:space="preserve">up” to represent the investment decision of all firms on the macroeconomic level: if there are </w:t>
      </w:r>
      <w:r w:rsidR="0055154C" w:rsidRPr="008D489F">
        <w:rPr>
          <w:i/>
          <w:color w:val="000000"/>
        </w:rPr>
        <w:t>N</w:t>
      </w:r>
      <w:r w:rsidR="0055154C">
        <w:rPr>
          <w:color w:val="000000"/>
        </w:rPr>
        <w:t xml:space="preserve"> identical firms, the total investment </w:t>
      </w:r>
      <w:r w:rsidR="00720431">
        <w:rPr>
          <w:color w:val="000000"/>
        </w:rPr>
        <w:t xml:space="preserve">at a given time </w:t>
      </w:r>
      <w:r w:rsidR="0055154C">
        <w:rPr>
          <w:color w:val="000000"/>
        </w:rPr>
        <w:t xml:space="preserve">would be </w:t>
      </w:r>
      <w:r w:rsidR="0055154C" w:rsidRPr="008D489F">
        <w:rPr>
          <w:i/>
          <w:color w:val="000000"/>
        </w:rPr>
        <w:t>N</w:t>
      </w:r>
      <w:r w:rsidR="0055154C">
        <w:rPr>
          <w:color w:val="000000"/>
        </w:rPr>
        <w:t xml:space="preserve"> times the investment made by</w:t>
      </w:r>
      <w:r w:rsidR="00AC11DA">
        <w:rPr>
          <w:color w:val="000000"/>
        </w:rPr>
        <w:t xml:space="preserve"> the RF</w:t>
      </w:r>
      <w:r w:rsidR="0055154C">
        <w:rPr>
          <w:color w:val="000000"/>
        </w:rPr>
        <w:t>.</w:t>
      </w:r>
      <w:r w:rsidR="00AC7305">
        <w:rPr>
          <w:rStyle w:val="EndnoteReference"/>
          <w:color w:val="000000"/>
        </w:rPr>
        <w:endnoteReference w:id="22"/>
      </w:r>
      <w:r w:rsidR="00F0548D">
        <w:rPr>
          <w:color w:val="000000"/>
        </w:rPr>
        <w:t xml:space="preserve"> </w:t>
      </w:r>
    </w:p>
    <w:p w:rsidR="00B71607" w:rsidRDefault="00F0548D" w:rsidP="00C31F28">
      <w:r w:rsidRPr="00BE2224">
        <w:rPr>
          <w:i/>
          <w:color w:val="000000"/>
        </w:rPr>
        <w:t>First</w:t>
      </w:r>
      <w:r>
        <w:rPr>
          <w:color w:val="000000"/>
        </w:rPr>
        <w:t>, l</w:t>
      </w:r>
      <w:r w:rsidR="00C31F28">
        <w:t>et</w:t>
      </w:r>
      <w:r w:rsidR="00B71607" w:rsidRPr="00B71607">
        <w:t xml:space="preserve"> </w:t>
      </w:r>
      <w:r w:rsidR="00C31F28">
        <w:rPr>
          <w:b/>
          <w:i/>
        </w:rPr>
        <w:t>θ</w:t>
      </w:r>
      <w:r w:rsidR="00B71607" w:rsidRPr="00B71607">
        <w:t xml:space="preserve"> </w:t>
      </w:r>
      <w:r w:rsidR="00C31F28">
        <w:t>=</w:t>
      </w:r>
      <w:r w:rsidR="00B71607" w:rsidRPr="00B71607">
        <w:t xml:space="preserve"> </w:t>
      </w:r>
      <w:r w:rsidR="00C31F28">
        <w:t>1</w:t>
      </w:r>
      <w:r w:rsidR="00B71607" w:rsidRPr="00B71607">
        <w:t xml:space="preserve"> </w:t>
      </w:r>
      <w:r w:rsidR="00C31F28">
        <w:t>so</w:t>
      </w:r>
      <w:r w:rsidR="00B71607" w:rsidRPr="00B71607">
        <w:t xml:space="preserve"> </w:t>
      </w:r>
      <w:r w:rsidR="00C31F28">
        <w:t>that</w:t>
      </w:r>
      <w:r w:rsidR="00B71607" w:rsidRPr="00B71607">
        <w:t xml:space="preserve"> </w:t>
      </w:r>
      <w:r w:rsidR="00C31F28">
        <w:t>capital</w:t>
      </w:r>
      <w:r w:rsidR="00B71607" w:rsidRPr="00B71607">
        <w:t xml:space="preserve"> </w:t>
      </w:r>
      <w:r w:rsidR="00C31F28">
        <w:t>gaps</w:t>
      </w:r>
      <w:r w:rsidR="00B71607" w:rsidRPr="00B71607">
        <w:t xml:space="preserve"> </w:t>
      </w:r>
      <w:r w:rsidR="00C31F28">
        <w:t>are</w:t>
      </w:r>
      <w:r w:rsidR="00B71607" w:rsidRPr="00B71607">
        <w:t xml:space="preserve"> </w:t>
      </w:r>
      <w:r w:rsidR="00C31F28">
        <w:t>closed</w:t>
      </w:r>
      <w:r w:rsidR="00B71607" w:rsidRPr="00B71607">
        <w:t xml:space="preserve"> </w:t>
      </w:r>
      <w:r w:rsidR="005B2069">
        <w:t>over the year</w:t>
      </w:r>
      <w:r w:rsidR="00C31F28">
        <w:t>:</w:t>
      </w:r>
      <w:r w:rsidR="00B71607" w:rsidRPr="00B71607">
        <w:t xml:space="preserve"> </w:t>
      </w:r>
      <w:r w:rsidR="00C31F28">
        <w:rPr>
          <w:b/>
        </w:rPr>
        <w:t>K</w:t>
      </w:r>
      <w:r w:rsidR="00C31F28">
        <w:rPr>
          <w:b/>
          <w:smallCaps/>
          <w:vertAlign w:val="subscript"/>
        </w:rPr>
        <w:t>–1</w:t>
      </w:r>
      <w:r w:rsidR="00B71607" w:rsidRPr="00B71607">
        <w:t xml:space="preserve"> </w:t>
      </w:r>
      <w:r w:rsidR="00C31F28">
        <w:t>=</w:t>
      </w:r>
      <w:r w:rsidR="00C31F28">
        <w:sym w:font="Symbol" w:char="F020"/>
      </w:r>
      <w:r w:rsidR="00C31F28">
        <w:rPr>
          <w:b/>
          <w:i/>
        </w:rPr>
        <w:t>c</w:t>
      </w:r>
      <w:r w:rsidR="00C31F28">
        <w:t>·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C31F28">
        <w:rPr>
          <w:b/>
          <w:smallCaps/>
          <w:vertAlign w:val="subscript"/>
        </w:rPr>
        <w:t>–1</w:t>
      </w:r>
      <w:r w:rsidR="00B71607" w:rsidRPr="00B71607">
        <w:rPr>
          <w:color w:val="000000"/>
        </w:rPr>
        <w:t xml:space="preserve"> </w:t>
      </w:r>
      <w:r w:rsidR="00C31F28">
        <w:rPr>
          <w:color w:val="000000"/>
        </w:rPr>
        <w:t>and</w:t>
      </w:r>
      <w:r w:rsidR="00B71607" w:rsidRPr="00B71607">
        <w:rPr>
          <w:color w:val="000000"/>
        </w:rPr>
        <w:t xml:space="preserve"> </w:t>
      </w:r>
      <w:r w:rsidR="004E36FB">
        <w:rPr>
          <w:b/>
          <w:color w:val="000000"/>
        </w:rPr>
        <w:t>I</w:t>
      </w:r>
      <w:r w:rsidR="00B71607" w:rsidRPr="00B71607">
        <w:t xml:space="preserve"> </w:t>
      </w:r>
      <w:r w:rsidR="00C31F28">
        <w:t>=</w:t>
      </w:r>
      <w:r w:rsidR="00B71607" w:rsidRPr="00B71607">
        <w:t xml:space="preserve"> </w:t>
      </w:r>
      <w:r w:rsidR="00C31F28">
        <w:rPr>
          <w:b/>
          <w:i/>
        </w:rPr>
        <w:t>c</w:t>
      </w:r>
      <w:r w:rsidR="00C31F28">
        <w:t>·</w:t>
      </w:r>
      <w:r w:rsidR="00C31F28">
        <w:sym w:font="Symbol" w:char="F044"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C31F28">
        <w:rPr>
          <w:rFonts w:eastAsiaTheme="minorEastAsia"/>
        </w:rPr>
        <w:t>.</w:t>
      </w:r>
      <w:r w:rsidR="00E54B83">
        <w:rPr>
          <w:rFonts w:eastAsiaTheme="minorEastAsia"/>
        </w:rPr>
        <w:t xml:space="preserve"> </w:t>
      </w:r>
      <w:r w:rsidR="00E54B83" w:rsidRPr="00BE2224">
        <w:rPr>
          <w:rFonts w:eastAsiaTheme="minorEastAsia"/>
          <w:i/>
        </w:rPr>
        <w:t>Second</w:t>
      </w:r>
      <w:r w:rsidR="00C31F28">
        <w:rPr>
          <w:rFonts w:eastAsiaTheme="minorEastAsia"/>
        </w:rPr>
        <w:t>,</w:t>
      </w:r>
      <w:r w:rsidR="00B71607" w:rsidRPr="00B71607">
        <w:rPr>
          <w:rFonts w:eastAsiaTheme="minorEastAsia"/>
        </w:rPr>
        <w:t xml:space="preserve"> </w:t>
      </w:r>
      <w:r w:rsidR="00E54B83">
        <w:rPr>
          <w:rFonts w:eastAsiaTheme="minorEastAsia"/>
        </w:rPr>
        <w:t xml:space="preserve">assume </w:t>
      </w:r>
      <w:r w:rsidR="00AC7305">
        <w:rPr>
          <w:rFonts w:eastAsiaTheme="minorEastAsia"/>
        </w:rPr>
        <w:t xml:space="preserve">that </w:t>
      </w:r>
      <w:r w:rsidR="00C31F28">
        <w:t>expectations</w:t>
      </w:r>
      <w:r w:rsidR="00B71607" w:rsidRPr="00B71607">
        <w:t xml:space="preserve"> </w:t>
      </w:r>
      <w:r w:rsidR="00F4476B">
        <w:t>are</w:t>
      </w:r>
      <w:r>
        <w:t xml:space="preserve"> </w:t>
      </w:r>
      <w:r w:rsidR="00C31F28" w:rsidRPr="001459D6">
        <w:t>always</w:t>
      </w:r>
      <w:r w:rsidR="00B71607" w:rsidRPr="0026136B">
        <w:rPr>
          <w:i/>
        </w:rPr>
        <w:t xml:space="preserve"> </w:t>
      </w:r>
      <w:r w:rsidR="00C31F28" w:rsidRPr="0026136B">
        <w:rPr>
          <w:i/>
        </w:rPr>
        <w:t>exactly</w:t>
      </w:r>
      <w:r w:rsidR="00B71607" w:rsidRPr="0026136B">
        <w:rPr>
          <w:i/>
        </w:rPr>
        <w:t xml:space="preserve"> </w:t>
      </w:r>
      <w:r w:rsidR="00C31F28" w:rsidRPr="0026136B">
        <w:rPr>
          <w:i/>
        </w:rPr>
        <w:t>correct</w:t>
      </w:r>
      <w:r w:rsidR="00E2638B">
        <w:t>, with no random</w:t>
      </w:r>
      <w:r w:rsidR="00E2638B" w:rsidRPr="00B71607">
        <w:t xml:space="preserve"> </w:t>
      </w:r>
      <w:r w:rsidR="00E2638B">
        <w:t>error</w:t>
      </w:r>
      <w:r w:rsidR="00F51F18">
        <w:t>. With</w:t>
      </w:r>
      <w:r w:rsidR="00204ACF">
        <w:t xml:space="preserve"> such</w:t>
      </w:r>
      <w:r w:rsidR="00F51F18">
        <w:t xml:space="preserve"> u</w:t>
      </w:r>
      <w:r w:rsidR="00F51F18">
        <w:t>l</w:t>
      </w:r>
      <w:r w:rsidR="00F51F18">
        <w:t>tra-“rational</w:t>
      </w:r>
      <w:r w:rsidR="00C31F28">
        <w:t>”</w:t>
      </w:r>
      <w:r w:rsidR="00B71607" w:rsidRPr="00B71607">
        <w:t xml:space="preserve"> </w:t>
      </w:r>
      <w:r w:rsidR="007D4D50">
        <w:t>expectations</w:t>
      </w:r>
      <w:r w:rsidR="0079750E">
        <w:t xml:space="preserve"> (RE)</w:t>
      </w:r>
      <w:r w:rsidR="00F51F18">
        <w:t>,</w:t>
      </w:r>
      <w:r w:rsidR="00B71607" w:rsidRPr="00B71607">
        <w:t xml:space="preserve"> </w:t>
      </w:r>
      <w:r w:rsidR="00825CE0">
        <w:t xml:space="preserve">the RF </w:t>
      </w:r>
      <w:r w:rsidR="00C31F28">
        <w:t>invest</w:t>
      </w:r>
      <w:r w:rsidR="00825CE0">
        <w:t>s</w:t>
      </w:r>
      <w:r w:rsidR="00B71607" w:rsidRPr="00B71607">
        <w:t xml:space="preserve"> </w:t>
      </w:r>
      <w:r w:rsidR="0026136B">
        <w:t xml:space="preserve">based on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B71607" w:rsidRPr="00B71607">
        <w:t xml:space="preserve"> </w:t>
      </w:r>
      <w:r w:rsidR="00C31F28">
        <w:t>=</w:t>
      </w:r>
      <w:r w:rsidR="00B71607" w:rsidRPr="00B71607">
        <w:t xml:space="preserve"> </w:t>
      </w:r>
      <w:r w:rsidR="00C31F28">
        <w:rPr>
          <w:b/>
        </w:rPr>
        <w:t>Y</w:t>
      </w:r>
      <w:r w:rsidR="00EA681B">
        <w:t xml:space="preserve"> and</w:t>
      </w:r>
      <w:r w:rsidR="00204ACF">
        <w:t xml:space="preserve">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Z</m:t>
            </m:r>
          </m:e>
        </m:acc>
      </m:oMath>
      <w:r w:rsidR="00EA681B" w:rsidRPr="00B71607">
        <w:t xml:space="preserve"> </w:t>
      </w:r>
      <w:r w:rsidR="00EA681B">
        <w:t>=</w:t>
      </w:r>
      <w:r w:rsidR="00EA681B" w:rsidRPr="00B71607">
        <w:t xml:space="preserve"> </w:t>
      </w:r>
      <w:r w:rsidR="00EA681B">
        <w:rPr>
          <w:b/>
        </w:rPr>
        <w:t>Z</w:t>
      </w:r>
      <w:r w:rsidR="00825CE0">
        <w:t>.</w:t>
      </w:r>
      <w:r w:rsidR="005A6384">
        <w:t xml:space="preserve"> In line with the notion of everything going right</w:t>
      </w:r>
      <w:r w:rsidR="00825CE0">
        <w:t xml:space="preserve">, </w:t>
      </w:r>
      <w:r w:rsidR="00823418">
        <w:t>objective conditions (</w:t>
      </w:r>
      <w:r w:rsidR="00823418">
        <w:rPr>
          <w:b/>
        </w:rPr>
        <w:t>Y</w:t>
      </w:r>
      <w:r w:rsidR="00823418">
        <w:t xml:space="preserve"> and </w:t>
      </w:r>
      <w:r w:rsidR="00823418">
        <w:rPr>
          <w:b/>
        </w:rPr>
        <w:t>Z</w:t>
      </w:r>
      <w:r w:rsidR="00823418">
        <w:t xml:space="preserve">) </w:t>
      </w:r>
      <w:r w:rsidR="00840651" w:rsidRPr="00840651">
        <w:t>determin</w:t>
      </w:r>
      <w:r w:rsidR="00825CE0">
        <w:t>e</w:t>
      </w:r>
      <w:r w:rsidR="00FE324B">
        <w:t xml:space="preserve"> subjective pr</w:t>
      </w:r>
      <w:r w:rsidR="00FE324B">
        <w:t>e</w:t>
      </w:r>
      <w:r w:rsidR="00FE324B">
        <w:t>dictions (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5B2069">
        <w:rPr>
          <w:rFonts w:eastAsiaTheme="minorEastAsia"/>
          <w:b/>
        </w:rPr>
        <w:t xml:space="preserve"> </w:t>
      </w:r>
      <w:r w:rsidR="005B2069" w:rsidRPr="005B2069">
        <w:rPr>
          <w:rFonts w:eastAsiaTheme="minorEastAsia"/>
        </w:rPr>
        <w:t>and</w:t>
      </w:r>
      <w:r w:rsidR="005B2069">
        <w:rPr>
          <w:rFonts w:eastAsiaTheme="minorEastAsia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Z</m:t>
            </m:r>
          </m:e>
        </m:acc>
      </m:oMath>
      <w:r w:rsidR="00FE324B" w:rsidRPr="00FE324B">
        <w:rPr>
          <w:rFonts w:eastAsiaTheme="minorEastAsia"/>
        </w:rPr>
        <w:t xml:space="preserve">) </w:t>
      </w:r>
      <w:r w:rsidR="00825CE0">
        <w:rPr>
          <w:rFonts w:eastAsiaTheme="minorEastAsia"/>
        </w:rPr>
        <w:t xml:space="preserve">rather than </w:t>
      </w:r>
      <w:r w:rsidR="00825CE0" w:rsidRPr="00BA6F25">
        <w:rPr>
          <w:rFonts w:eastAsiaTheme="minorEastAsia"/>
          <w:i/>
        </w:rPr>
        <w:t>vice-versa</w:t>
      </w:r>
      <w:r w:rsidR="00BA6F25">
        <w:t xml:space="preserve"> (as can happen in Keynesian model</w:t>
      </w:r>
      <w:r w:rsidR="0026136B">
        <w:t>s</w:t>
      </w:r>
      <w:r w:rsidR="00BA6F25">
        <w:t>)</w:t>
      </w:r>
      <w:r w:rsidR="00B71607">
        <w:t>.</w:t>
      </w:r>
      <w:r w:rsidR="005A6384">
        <w:rPr>
          <w:rStyle w:val="EndnoteReference"/>
        </w:rPr>
        <w:endnoteReference w:id="23"/>
      </w:r>
      <w:r w:rsidR="00B71607" w:rsidRPr="00B71607">
        <w:t xml:space="preserve"> </w:t>
      </w:r>
      <w:r w:rsidR="0026136B">
        <w:t>This gives the a</w:t>
      </w:r>
      <w:r w:rsidR="0026136B">
        <w:t>c</w:t>
      </w:r>
      <w:r w:rsidR="0026136B">
        <w:t xml:space="preserve">tual </w:t>
      </w:r>
      <w:r w:rsidR="00FE324B">
        <w:t xml:space="preserve">or investment-driven </w:t>
      </w:r>
      <w:r w:rsidR="00BB1581">
        <w:t xml:space="preserve">growth </w:t>
      </w:r>
      <w:r w:rsidR="00E17704">
        <w:t xml:space="preserve">rate, which can be stated in two ways. 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  <w:gridCol w:w="682"/>
      </w:tblGrid>
      <w:tr w:rsidR="00B71607" w:rsidTr="00B71607">
        <w:trPr>
          <w:jc w:val="center"/>
        </w:trPr>
        <w:tc>
          <w:tcPr>
            <w:tcW w:w="8319" w:type="dxa"/>
            <w:hideMark/>
          </w:tcPr>
          <w:p w:rsidR="00B71607" w:rsidRPr="00C95FE4" w:rsidRDefault="00B71607" w:rsidP="00AC7305">
            <w:pPr>
              <w:pStyle w:val="H3"/>
              <w:keepNext w:val="0"/>
              <w:numPr>
                <w:ilvl w:val="0"/>
                <w:numId w:val="0"/>
              </w:numPr>
              <w:ind w:left="144"/>
              <w:jc w:val="center"/>
            </w:pPr>
            <w:r>
              <w:rPr>
                <w:b/>
              </w:rPr>
              <w:t>I</w:t>
            </w:r>
            <w:r>
              <w:rPr>
                <w:rFonts w:eastAsiaTheme="minorEastAsia"/>
                <w:b/>
                <w:szCs w:val="24"/>
              </w:rPr>
              <w:sym w:font="Symbol" w:char="F020"/>
            </w:r>
            <w:r>
              <w:t>=</w:t>
            </w:r>
            <w:r w:rsidRPr="00B71607">
              <w:t xml:space="preserve"> </w:t>
            </w:r>
            <w:r>
              <w:rPr>
                <w:b/>
                <w:i/>
              </w:rPr>
              <w:t>c</w:t>
            </w:r>
            <w:r>
              <w:t>·</w:t>
            </w:r>
            <w:r>
              <w:sym w:font="Symbol" w:char="F044"/>
            </w:r>
            <w:r>
              <w:rPr>
                <w:b/>
              </w:rPr>
              <w:t>Y</w:t>
            </w:r>
            <w:r w:rsidRPr="00B71607">
              <w:t xml:space="preserve"> </w:t>
            </w:r>
            <w:r w:rsidR="000A57F9">
              <w:rPr>
                <w:b/>
                <w:color w:val="FFFFFF" w:themeColor="background1"/>
              </w:rPr>
              <w:t>_</w:t>
            </w:r>
            <w:r w:rsidRPr="00B71607">
              <w:rPr>
                <w:color w:val="FFFFFF" w:themeColor="background1"/>
              </w:rPr>
              <w:t xml:space="preserve"> </w:t>
            </w:r>
            <w:r w:rsidRPr="00B71607">
              <w:t xml:space="preserve">and </w:t>
            </w:r>
            <w:r w:rsidR="000A57F9">
              <w:rPr>
                <w:b/>
                <w:color w:val="FFFFFF" w:themeColor="background1"/>
              </w:rPr>
              <w:t>_</w:t>
            </w:r>
            <w:r w:rsidRPr="00B71607">
              <w:rPr>
                <w:color w:val="FFFFFF" w:themeColor="background1"/>
              </w:rPr>
              <w:t xml:space="preserve"> </w:t>
            </w:r>
            <w:r w:rsidRPr="00B71607">
              <w:rPr>
                <w:b/>
              </w:rPr>
              <w:t>g</w:t>
            </w:r>
            <w:r w:rsidRPr="00B71607">
              <w:t xml:space="preserve"> = </w:t>
            </w:r>
            <w:r w:rsidR="004C63FB" w:rsidRPr="00CC7416">
              <w:t>∆</w:t>
            </w:r>
            <w:r w:rsidR="004C63FB">
              <w:rPr>
                <w:b/>
              </w:rPr>
              <w:t>Y</w:t>
            </w:r>
            <w:r w:rsidR="004C63FB">
              <w:t>/</w:t>
            </w:r>
            <w:r w:rsidR="004C63FB">
              <w:rPr>
                <w:b/>
              </w:rPr>
              <w:t>Y</w:t>
            </w:r>
            <w:r w:rsidR="004C63FB">
              <w:t xml:space="preserve"> = </w:t>
            </w:r>
            <w:r>
              <w:rPr>
                <w:rFonts w:eastAsiaTheme="minorEastAsia"/>
                <w:bCs/>
              </w:rPr>
              <w:t>(</w:t>
            </w:r>
            <w:r>
              <w:rPr>
                <w:rFonts w:eastAsiaTheme="minorEastAsia"/>
                <w:b/>
                <w:bCs/>
              </w:rPr>
              <w:t>I</w:t>
            </w:r>
            <w:r>
              <w:rPr>
                <w:rFonts w:eastAsiaTheme="minorEastAsia"/>
                <w:bCs/>
              </w:rPr>
              <w:t>/</w:t>
            </w:r>
            <w:r>
              <w:rPr>
                <w:rFonts w:eastAsiaTheme="minorEastAsia"/>
                <w:b/>
                <w:bCs/>
              </w:rPr>
              <w:t>Y</w:t>
            </w:r>
            <w:r>
              <w:rPr>
                <w:rFonts w:eastAsiaTheme="minorEastAsia"/>
                <w:bCs/>
              </w:rPr>
              <w:t>)</w:t>
            </w:r>
            <w:r w:rsidRPr="00B71607">
              <w:t>/</w:t>
            </w:r>
            <w:r w:rsidRPr="00B71607">
              <w:rPr>
                <w:b/>
                <w:i/>
              </w:rPr>
              <w:t>c</w:t>
            </w:r>
            <w:r w:rsidR="00204ACF">
              <w:t xml:space="preserve"> = </w:t>
            </w:r>
            <w:r w:rsidR="00CE4F70">
              <w:rPr>
                <w:rFonts w:eastAsiaTheme="minorEastAsia"/>
                <w:b/>
                <w:bCs/>
                <w:i/>
                <w:color w:val="000000"/>
              </w:rPr>
              <w:t>α</w:t>
            </w:r>
            <w:r w:rsidR="00CE4F70">
              <w:rPr>
                <w:rFonts w:eastAsiaTheme="minorEastAsia"/>
                <w:b/>
                <w:bCs/>
                <w:smallCaps/>
                <w:vertAlign w:val="subscript"/>
              </w:rPr>
              <w:t>y</w:t>
            </w:r>
            <w:r w:rsidR="00204ACF">
              <w:rPr>
                <w:bCs/>
              </w:rPr>
              <w:t>/</w:t>
            </w:r>
            <w:r w:rsidR="00204ACF" w:rsidRPr="00204ACF">
              <w:rPr>
                <w:b/>
                <w:bCs/>
                <w:i/>
              </w:rPr>
              <w:t>c</w:t>
            </w:r>
            <w:r w:rsidR="00C95FE4">
              <w:rPr>
                <w:bCs/>
              </w:rPr>
              <w:t xml:space="preserve"> </w:t>
            </w:r>
            <w:r w:rsidR="00C95FE4">
              <w:rPr>
                <w:b/>
                <w:color w:val="FFFFFF" w:themeColor="background1"/>
              </w:rPr>
              <w:t>_</w:t>
            </w:r>
            <w:r w:rsidR="00C95FE4" w:rsidRPr="00B71607">
              <w:t xml:space="preserve"> </w:t>
            </w:r>
            <w:r w:rsidR="00C95FE4">
              <w:rPr>
                <w:b/>
                <w:color w:val="FFFFFF" w:themeColor="background1"/>
              </w:rPr>
              <w:t>_</w:t>
            </w:r>
            <w:r w:rsidR="00C95FE4">
              <w:rPr>
                <w:bCs/>
              </w:rPr>
              <w:t xml:space="preserve">with </w:t>
            </w:r>
            <w:r w:rsidR="00CE4F70">
              <w:rPr>
                <w:rFonts w:eastAsiaTheme="minorEastAsia"/>
                <w:b/>
                <w:bCs/>
                <w:i/>
                <w:color w:val="000000"/>
              </w:rPr>
              <w:t>α</w:t>
            </w:r>
            <w:r w:rsidR="00CE4F70">
              <w:rPr>
                <w:rFonts w:eastAsiaTheme="minorEastAsia"/>
                <w:b/>
                <w:bCs/>
                <w:smallCaps/>
                <w:vertAlign w:val="subscript"/>
              </w:rPr>
              <w:t>y</w:t>
            </w:r>
            <w:r w:rsidR="00C95FE4">
              <w:rPr>
                <w:bCs/>
              </w:rPr>
              <w:t xml:space="preserve"> = </w:t>
            </w:r>
            <w:r w:rsidR="00C95FE4">
              <w:rPr>
                <w:b/>
                <w:color w:val="000000"/>
              </w:rPr>
              <w:t>I</w:t>
            </w:r>
            <w:r w:rsidR="00C95FE4">
              <w:rPr>
                <w:color w:val="000000"/>
              </w:rPr>
              <w:t>/</w:t>
            </w:r>
            <w:r w:rsidR="00C95FE4">
              <w:rPr>
                <w:b/>
                <w:color w:val="000000"/>
              </w:rPr>
              <w:t>Y</w:t>
            </w:r>
          </w:p>
        </w:tc>
        <w:tc>
          <w:tcPr>
            <w:tcW w:w="682" w:type="dxa"/>
          </w:tcPr>
          <w:p w:rsidR="00B71607" w:rsidRPr="002D1EDD" w:rsidRDefault="00B71607" w:rsidP="00B71607">
            <w:pPr>
              <w:pStyle w:val="H4"/>
              <w:numPr>
                <w:ilvl w:val="0"/>
                <w:numId w:val="0"/>
              </w:numPr>
              <w:outlineLvl w:val="9"/>
            </w:pPr>
            <w:bookmarkStart w:id="18" w:name="_Ref412901243"/>
            <w:bookmarkStart w:id="19" w:name="_Ref413078100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5</w:t>
            </w:r>
            <w:r w:rsidR="00321870">
              <w:rPr>
                <w:noProof/>
              </w:rPr>
              <w:fldChar w:fldCharType="end"/>
            </w:r>
            <w:bookmarkEnd w:id="18"/>
            <w:r>
              <w:t>)</w:t>
            </w:r>
            <w:bookmarkEnd w:id="19"/>
          </w:p>
        </w:tc>
      </w:tr>
      <w:tr w:rsidR="00ED2EAC" w:rsidTr="00B71607">
        <w:trPr>
          <w:jc w:val="center"/>
        </w:trPr>
        <w:tc>
          <w:tcPr>
            <w:tcW w:w="8319" w:type="dxa"/>
          </w:tcPr>
          <w:p w:rsidR="00ED2EAC" w:rsidRPr="00ED2EAC" w:rsidRDefault="002C7436" w:rsidP="00AC7305">
            <w:pPr>
              <w:pStyle w:val="H3"/>
              <w:keepNext w:val="0"/>
              <w:numPr>
                <w:ilvl w:val="0"/>
                <w:numId w:val="0"/>
              </w:numPr>
              <w:ind w:left="144"/>
              <w:jc w:val="center"/>
            </w:pPr>
            <w:r>
              <w:rPr>
                <w:color w:val="FFFFFF" w:themeColor="background1"/>
              </w:rPr>
              <w:t>Alternatively</w:t>
            </w:r>
            <w:r w:rsidR="003A3D42">
              <w:t xml:space="preserve"> </w:t>
            </w:r>
            <w:r w:rsidR="00ED2EAC">
              <w:rPr>
                <w:b/>
              </w:rPr>
              <w:t>g</w:t>
            </w:r>
            <w:r w:rsidR="00ED2EAC">
              <w:t xml:space="preserve"> = (</w:t>
            </w:r>
            <w:r w:rsidR="00ED2EAC">
              <w:rPr>
                <w:b/>
              </w:rPr>
              <w:t>I</w:t>
            </w:r>
            <w:r w:rsidR="00ED2EAC">
              <w:t>/</w:t>
            </w:r>
            <w:r w:rsidR="00ED2EAC">
              <w:rPr>
                <w:b/>
              </w:rPr>
              <w:t>Z</w:t>
            </w:r>
            <w:r w:rsidR="00ED2EAC">
              <w:t>)·(</w:t>
            </w:r>
            <w:r w:rsidR="00ED2EAC">
              <w:rPr>
                <w:b/>
              </w:rPr>
              <w:t>Z</w:t>
            </w:r>
            <w:r w:rsidR="00ED2EAC">
              <w:t>/</w:t>
            </w:r>
            <w:r w:rsidR="00ED2EAC">
              <w:rPr>
                <w:b/>
              </w:rPr>
              <w:t>Y</w:t>
            </w:r>
            <w:r w:rsidR="00ED2EAC">
              <w:t>)/</w:t>
            </w:r>
            <w:r w:rsidR="00ED2EAC">
              <w:rPr>
                <w:b/>
                <w:i/>
              </w:rPr>
              <w:t>c</w:t>
            </w:r>
            <w:r w:rsidR="00ED2EAC">
              <w:t xml:space="preserve"> = </w:t>
            </w:r>
            <w:r w:rsidR="00CE4F70">
              <w:rPr>
                <w:rFonts w:eastAsiaTheme="minorEastAsia"/>
                <w:b/>
                <w:bCs/>
                <w:i/>
              </w:rPr>
              <w:t>α</w:t>
            </w:r>
            <w:r w:rsidR="00ED2EAC">
              <w:rPr>
                <w:rFonts w:eastAsiaTheme="minorEastAsia"/>
                <w:bCs/>
              </w:rPr>
              <w:t>/</w:t>
            </w:r>
            <w:proofErr w:type="spellStart"/>
            <w:r w:rsidR="00ED2EAC">
              <w:rPr>
                <w:rFonts w:eastAsiaTheme="minorEastAsia"/>
                <w:b/>
                <w:bCs/>
                <w:i/>
              </w:rPr>
              <w:t>c</w:t>
            </w:r>
            <w:r w:rsidR="00ED2EAC">
              <w:rPr>
                <w:rFonts w:eastAsiaTheme="minorEastAsia"/>
                <w:bCs/>
              </w:rPr>
              <w:t>·</w:t>
            </w:r>
            <w:r w:rsidR="00ED2EAC">
              <w:rPr>
                <w:rFonts w:eastAsiaTheme="minorEastAsia"/>
                <w:b/>
                <w:bCs/>
                <w:i/>
              </w:rPr>
              <w:t>y</w:t>
            </w:r>
            <w:proofErr w:type="spellEnd"/>
            <w:r w:rsidR="00ED2EAC">
              <w:t xml:space="preserve"> </w:t>
            </w:r>
            <w:r w:rsidR="003B19D0">
              <w:rPr>
                <w:b/>
                <w:color w:val="FFFFFF" w:themeColor="background1"/>
              </w:rPr>
              <w:t>_</w:t>
            </w:r>
            <w:r w:rsidR="003B19D0" w:rsidRPr="00B71607">
              <w:t xml:space="preserve"> </w:t>
            </w:r>
            <w:r w:rsidR="003B19D0">
              <w:rPr>
                <w:b/>
                <w:color w:val="FFFFFF" w:themeColor="background1"/>
              </w:rPr>
              <w:t>_</w:t>
            </w:r>
            <w:r w:rsidR="003B19D0">
              <w:rPr>
                <w:bCs/>
              </w:rPr>
              <w:t xml:space="preserve">with </w:t>
            </w:r>
            <w:r w:rsidR="00CE4F70">
              <w:rPr>
                <w:rFonts w:eastAsiaTheme="minorEastAsia"/>
                <w:b/>
                <w:bCs/>
                <w:i/>
                <w:color w:val="000000"/>
              </w:rPr>
              <w:t>α</w:t>
            </w:r>
            <w:r w:rsidR="003B19D0">
              <w:rPr>
                <w:bCs/>
              </w:rPr>
              <w:t xml:space="preserve"> = </w:t>
            </w:r>
            <w:r w:rsidR="003B19D0">
              <w:rPr>
                <w:b/>
                <w:color w:val="000000"/>
              </w:rPr>
              <w:t>I</w:t>
            </w:r>
            <w:r w:rsidR="003B19D0">
              <w:rPr>
                <w:color w:val="000000"/>
              </w:rPr>
              <w:t>/</w:t>
            </w:r>
            <w:r w:rsidR="003B19D0">
              <w:rPr>
                <w:b/>
                <w:color w:val="000000"/>
              </w:rPr>
              <w:t>Z</w:t>
            </w:r>
          </w:p>
        </w:tc>
        <w:tc>
          <w:tcPr>
            <w:tcW w:w="682" w:type="dxa"/>
          </w:tcPr>
          <w:p w:rsidR="00ED2EAC" w:rsidRPr="002D1EDD" w:rsidRDefault="00ED2EAC" w:rsidP="00ED2EAC">
            <w:pPr>
              <w:pStyle w:val="H4"/>
              <w:numPr>
                <w:ilvl w:val="0"/>
                <w:numId w:val="0"/>
              </w:numPr>
              <w:outlineLvl w:val="9"/>
            </w:pPr>
            <w:r>
              <w:fldChar w:fldCharType="begin"/>
            </w:r>
            <w:r>
              <w:instrText xml:space="preserve"> REF _Ref412901243 \h </w:instrText>
            </w:r>
            <w:r>
              <w:fldChar w:fldCharType="separate"/>
            </w:r>
            <w:r w:rsidR="00292438">
              <w:t>(</w:t>
            </w:r>
            <w:r w:rsidR="00292438">
              <w:rPr>
                <w:noProof/>
              </w:rPr>
              <w:t>5</w:t>
            </w:r>
            <w:r>
              <w:fldChar w:fldCharType="end"/>
            </w:r>
            <w:r>
              <w:t>’)</w:t>
            </w:r>
          </w:p>
        </w:tc>
      </w:tr>
    </w:tbl>
    <w:p w:rsidR="0079750E" w:rsidRDefault="00920F49" w:rsidP="00C31F28">
      <w:r>
        <w:t>The</w:t>
      </w:r>
      <w:r w:rsidR="00C95FE4">
        <w:t>se</w:t>
      </w:r>
      <w:r>
        <w:t xml:space="preserve"> two assumptions complement</w:t>
      </w:r>
      <w:r w:rsidR="00E01F0F">
        <w:t xml:space="preserve"> each other</w:t>
      </w:r>
      <w:r w:rsidR="00FD52FB">
        <w:t xml:space="preserve"> because</w:t>
      </w:r>
      <w:r>
        <w:t xml:space="preserve"> a RF with tru</w:t>
      </w:r>
      <w:r w:rsidR="0026136B">
        <w:t>ly</w:t>
      </w:r>
      <w:r>
        <w:t xml:space="preserve"> </w:t>
      </w:r>
      <w:r w:rsidR="0079750E">
        <w:t>RE</w:t>
      </w:r>
      <w:r w:rsidR="0026136B">
        <w:t xml:space="preserve"> </w:t>
      </w:r>
      <w:r>
        <w:t>would be able to e</w:t>
      </w:r>
      <w:r>
        <w:t>x</w:t>
      </w:r>
      <w:r>
        <w:t xml:space="preserve">pect any adjustment costs </w:t>
      </w:r>
      <w:r w:rsidR="00B60EE9">
        <w:t xml:space="preserve">or increasing risks </w:t>
      </w:r>
      <w:r>
        <w:t>and negate their role</w:t>
      </w:r>
      <w:r w:rsidR="00FD52FB">
        <w:t xml:space="preserve"> in practice</w:t>
      </w:r>
      <w:r>
        <w:t>.</w:t>
      </w:r>
      <w:r w:rsidR="0026136B">
        <w:t xml:space="preserve"> </w:t>
      </w:r>
    </w:p>
    <w:p w:rsidR="00014546" w:rsidRDefault="0026136B" w:rsidP="00C31F28">
      <w:r>
        <w:t xml:space="preserve">Students of the accelerator model know that </w:t>
      </w:r>
      <w:r w:rsidR="00C95FE4">
        <w:t xml:space="preserve">an </w:t>
      </w:r>
      <w:r>
        <w:t xml:space="preserve">investment function </w:t>
      </w:r>
      <w:r w:rsidR="00C95FE4">
        <w:t xml:space="preserve">such as </w:t>
      </w:r>
      <w:r w:rsidR="005E39C7">
        <w:fldChar w:fldCharType="begin"/>
      </w:r>
      <w:r w:rsidR="005E39C7">
        <w:instrText xml:space="preserve"> REF _Ref412901243 \h </w:instrText>
      </w:r>
      <w:r w:rsidR="005E39C7">
        <w:fldChar w:fldCharType="separate"/>
      </w:r>
      <w:r w:rsidR="00292438">
        <w:t>(</w:t>
      </w:r>
      <w:r w:rsidR="00292438">
        <w:rPr>
          <w:noProof/>
        </w:rPr>
        <w:t>5</w:t>
      </w:r>
      <w:r w:rsidR="005E39C7">
        <w:fldChar w:fldCharType="end"/>
      </w:r>
      <w:r w:rsidR="005E39C7">
        <w:t>)</w:t>
      </w:r>
      <w:r w:rsidR="0079750E">
        <w:t xml:space="preserve"> </w:t>
      </w:r>
      <w:r>
        <w:t>is a</w:t>
      </w:r>
      <w:r w:rsidR="00014546">
        <w:t>n e</w:t>
      </w:r>
      <w:r w:rsidR="00014546">
        <w:t>n</w:t>
      </w:r>
      <w:r w:rsidR="00014546">
        <w:t>dogenous</w:t>
      </w:r>
      <w:r>
        <w:t xml:space="preserve"> source of instability</w:t>
      </w:r>
      <w:r w:rsidR="0079750E">
        <w:t xml:space="preserve"> since the lags </w:t>
      </w:r>
      <w:r w:rsidR="00F0548D">
        <w:t xml:space="preserve">that were </w:t>
      </w:r>
      <w:r w:rsidR="0079750E">
        <w:t>assumed away moderate any i</w:t>
      </w:r>
      <w:r w:rsidR="0079750E">
        <w:t>n</w:t>
      </w:r>
      <w:r w:rsidR="0079750E">
        <w:t>vestment surges or declines</w:t>
      </w:r>
      <w:r w:rsidR="005E39C7">
        <w:t xml:space="preserve"> and also their (multiplied) effects on the economy</w:t>
      </w:r>
      <w:r w:rsidR="0079750E">
        <w:t>.</w:t>
      </w:r>
      <w:r w:rsidR="00F4476B">
        <w:t xml:space="preserve"> </w:t>
      </w:r>
      <w:r w:rsidR="00014546">
        <w:t>M</w:t>
      </w:r>
      <w:r w:rsidR="00E17704">
        <w:t xml:space="preserve">ore than anything else, </w:t>
      </w:r>
      <w:r w:rsidR="00F4476B">
        <w:t xml:space="preserve">this </w:t>
      </w:r>
      <w:r w:rsidR="00E17704">
        <w:t xml:space="preserve">fact </w:t>
      </w:r>
      <w:r w:rsidR="00F4476B">
        <w:t xml:space="preserve">seems </w:t>
      </w:r>
      <w:r w:rsidR="00E17704">
        <w:t xml:space="preserve">to be </w:t>
      </w:r>
      <w:r w:rsidR="00F4476B">
        <w:t>the essence of Harrod’s knife-edge.</w:t>
      </w:r>
      <w:r w:rsidR="0079750E">
        <w:t xml:space="preserve"> </w:t>
      </w:r>
    </w:p>
    <w:p w:rsidR="0079750E" w:rsidRDefault="00197991" w:rsidP="00C31F28">
      <w:r>
        <w:lastRenderedPageBreak/>
        <w:t>In the present case</w:t>
      </w:r>
      <w:r w:rsidR="00C95FE4">
        <w:t>,</w:t>
      </w:r>
      <w:r w:rsidR="0079750E">
        <w:t xml:space="preserve"> </w:t>
      </w:r>
      <w:r w:rsidR="00F0548D">
        <w:t xml:space="preserve">the RF may “rationally” expect growth which is </w:t>
      </w:r>
      <w:r w:rsidR="0079750E">
        <w:t>either excessively high or excessively low</w:t>
      </w:r>
      <w:r w:rsidR="00F4476B">
        <w:t xml:space="preserve"> from a more objective perspective</w:t>
      </w:r>
      <w:r w:rsidR="00C95FE4">
        <w:t xml:space="preserve">. </w:t>
      </w:r>
      <w:r w:rsidR="00F4476B">
        <w:t xml:space="preserve">That is, </w:t>
      </w:r>
      <w:r w:rsidR="00A05FD2">
        <w:t xml:space="preserve">assuming </w:t>
      </w:r>
      <w:r w:rsidR="0079750E">
        <w:t>RE do</w:t>
      </w:r>
      <w:r w:rsidR="00A05FD2">
        <w:t>es</w:t>
      </w:r>
      <w:r w:rsidR="0079750E">
        <w:t xml:space="preserve"> not imply the usual harmonious results in disequilibrium </w:t>
      </w:r>
      <w:r w:rsidR="00F4476B">
        <w:t>situations</w:t>
      </w:r>
      <w:r w:rsidR="00E17704">
        <w:t xml:space="preserve"> or </w:t>
      </w:r>
      <w:r w:rsidR="00F4476B">
        <w:t xml:space="preserve">when </w:t>
      </w:r>
      <w:r w:rsidR="0079750E">
        <w:t xml:space="preserve">macro equilibrium is not unique </w:t>
      </w:r>
      <w:r w:rsidR="00E17704">
        <w:t xml:space="preserve">and/or unstable </w:t>
      </w:r>
      <w:r w:rsidR="0079750E">
        <w:t>(cf. Ev</w:t>
      </w:r>
      <w:r w:rsidR="003B19D0">
        <w:t>ans, 1983):</w:t>
      </w:r>
      <w:r w:rsidR="00E54B83">
        <w:t xml:space="preserve"> a</w:t>
      </w:r>
      <w:r w:rsidR="0079750E">
        <w:t xml:space="preserve">cting on RE </w:t>
      </w:r>
      <w:r w:rsidR="0065407E">
        <w:t xml:space="preserve">can </w:t>
      </w:r>
      <w:r w:rsidR="0079750E">
        <w:t>encour</w:t>
      </w:r>
      <w:r w:rsidR="0065407E">
        <w:t>age</w:t>
      </w:r>
      <w:r w:rsidR="0079750E">
        <w:t xml:space="preserve"> a non-optimal growth path to continue to</w:t>
      </w:r>
      <w:r w:rsidR="003B19D0">
        <w:t>ward</w:t>
      </w:r>
      <w:r w:rsidR="0079750E">
        <w:t xml:space="preserve"> explo</w:t>
      </w:r>
      <w:r w:rsidR="003B19D0">
        <w:t>sion</w:t>
      </w:r>
      <w:r w:rsidR="0079750E">
        <w:t xml:space="preserve"> or implo</w:t>
      </w:r>
      <w:r w:rsidR="003B19D0">
        <w:t>sion</w:t>
      </w:r>
      <w:r w:rsidR="0079750E">
        <w:t>.</w:t>
      </w:r>
    </w:p>
    <w:p w:rsidR="0024434D" w:rsidRPr="00B317C7" w:rsidRDefault="0079750E" w:rsidP="00C31F28">
      <w:r>
        <w:t xml:space="preserve">But </w:t>
      </w:r>
      <w:r w:rsidR="00E01F0F">
        <w:t>to define</w:t>
      </w:r>
      <w:r w:rsidR="00A05FD2">
        <w:t xml:space="preserve"> a moving equilibrium,</w:t>
      </w:r>
      <w:r w:rsidR="007C7978">
        <w:t xml:space="preserve"> we </w:t>
      </w:r>
      <w:r w:rsidR="00E01F0F">
        <w:t xml:space="preserve">must </w:t>
      </w:r>
      <w:r w:rsidR="007C7978">
        <w:t xml:space="preserve">rule out </w:t>
      </w:r>
      <w:r w:rsidR="00E54B83">
        <w:t xml:space="preserve">such </w:t>
      </w:r>
      <w:r>
        <w:t xml:space="preserve">instability by </w:t>
      </w:r>
      <w:r w:rsidR="00E54B83">
        <w:t xml:space="preserve">assuming </w:t>
      </w:r>
      <w:r w:rsidR="00A213AF">
        <w:t>that the macro</w:t>
      </w:r>
      <w:r w:rsidR="00D47E65">
        <w:t>economic</w:t>
      </w:r>
      <w:r w:rsidR="00A213AF">
        <w:t xml:space="preserve"> context in which </w:t>
      </w:r>
      <w:r w:rsidR="0015666A">
        <w:t xml:space="preserve">the RF </w:t>
      </w:r>
      <w:r w:rsidR="00A213AF">
        <w:t>operate</w:t>
      </w:r>
      <w:r w:rsidR="0015666A">
        <w:t>s</w:t>
      </w:r>
      <w:r w:rsidR="003B19D0">
        <w:t xml:space="preserve"> also has everything </w:t>
      </w:r>
      <w:r w:rsidR="00A213AF">
        <w:t>right</w:t>
      </w:r>
      <w:r w:rsidR="00F50E11">
        <w:t>,</w:t>
      </w:r>
      <w:r w:rsidR="00A213AF">
        <w:t xml:space="preserve"> </w:t>
      </w:r>
      <w:r w:rsidR="00A05FD2">
        <w:t xml:space="preserve">with </w:t>
      </w:r>
      <w:r w:rsidR="00F50E11">
        <w:t>micro d</w:t>
      </w:r>
      <w:r w:rsidR="00F50E11">
        <w:t>e</w:t>
      </w:r>
      <w:r w:rsidR="00F50E11">
        <w:t xml:space="preserve">cisions and macro results </w:t>
      </w:r>
      <w:r w:rsidR="000C628D">
        <w:t>be</w:t>
      </w:r>
      <w:r w:rsidR="00A05FD2">
        <w:t>ing</w:t>
      </w:r>
      <w:r w:rsidR="000C628D">
        <w:t xml:space="preserve"> </w:t>
      </w:r>
      <w:r w:rsidR="00355009">
        <w:t xml:space="preserve">exactly </w:t>
      </w:r>
      <w:r w:rsidR="00F50E11">
        <w:t>in sync</w:t>
      </w:r>
      <w:r w:rsidR="00355009">
        <w:t>:</w:t>
      </w:r>
      <w:r w:rsidR="0024434D">
        <w:t xml:space="preserve"> the re</w:t>
      </w:r>
      <w:r w:rsidR="00046B2E">
        <w:t xml:space="preserve">sults of the </w:t>
      </w:r>
      <w:r w:rsidR="00BB5C48">
        <w:t>scaling</w:t>
      </w:r>
      <w:r w:rsidR="0024434D">
        <w:t xml:space="preserve"> up the decision of the </w:t>
      </w:r>
      <w:r w:rsidR="0015666A">
        <w:t xml:space="preserve">RF </w:t>
      </w:r>
      <w:r w:rsidR="0024434D">
        <w:t xml:space="preserve">(determining </w:t>
      </w:r>
      <w:r w:rsidR="007014D0">
        <w:t xml:space="preserve">the economy’s </w:t>
      </w:r>
      <w:r w:rsidR="0024434D">
        <w:rPr>
          <w:b/>
        </w:rPr>
        <w:t>g</w:t>
      </w:r>
      <w:r w:rsidR="0024434D">
        <w:t>) are totally consistent with macroeconomic cond</w:t>
      </w:r>
      <w:r w:rsidR="0024434D">
        <w:t>i</w:t>
      </w:r>
      <w:r w:rsidR="0024434D">
        <w:t>tions allowing this growth path to persist.</w:t>
      </w:r>
      <w:r w:rsidR="005A5248">
        <w:t xml:space="preserve"> </w:t>
      </w:r>
    </w:p>
    <w:p w:rsidR="00D42799" w:rsidRDefault="00D42799" w:rsidP="00C31F28">
      <w:r>
        <w:t xml:space="preserve">First, </w:t>
      </w:r>
      <w:r>
        <w:rPr>
          <w:bCs/>
        </w:rPr>
        <w:t xml:space="preserve">there is nothing in the story to assure that the </w:t>
      </w:r>
      <w:r w:rsidRPr="00A856C9">
        <w:rPr>
          <w:bCs/>
        </w:rPr>
        <w:t xml:space="preserve">right amount </w:t>
      </w:r>
      <w:r>
        <w:rPr>
          <w:bCs/>
        </w:rPr>
        <w:t xml:space="preserve">of demand </w:t>
      </w:r>
      <w:r w:rsidR="005478EC">
        <w:rPr>
          <w:bCs/>
        </w:rPr>
        <w:t xml:space="preserve">exists </w:t>
      </w:r>
      <w:r>
        <w:rPr>
          <w:bCs/>
        </w:rPr>
        <w:t xml:space="preserve">to buy the product. </w:t>
      </w:r>
      <w:r>
        <w:rPr>
          <w:rFonts w:eastAsiaTheme="minorEastAsia"/>
          <w:b/>
          <w:bCs/>
          <w:szCs w:val="24"/>
        </w:rPr>
        <w:t>D</w:t>
      </w:r>
      <w:r>
        <w:rPr>
          <w:rFonts w:eastAsiaTheme="minorEastAsia"/>
          <w:bCs/>
          <w:szCs w:val="24"/>
        </w:rPr>
        <w:t xml:space="preserve"> must equal </w:t>
      </w:r>
      <w:r>
        <w:rPr>
          <w:rFonts w:eastAsiaTheme="minorEastAsia"/>
          <w:b/>
          <w:bCs/>
          <w:szCs w:val="24"/>
        </w:rPr>
        <w:t>Y</w:t>
      </w:r>
      <w:r>
        <w:rPr>
          <w:rFonts w:eastAsiaTheme="minorEastAsia"/>
          <w:bCs/>
          <w:szCs w:val="24"/>
        </w:rPr>
        <w:t xml:space="preserve"> at each point. For this to be true, the </w:t>
      </w:r>
      <w:r w:rsidRPr="00BE2224">
        <w:rPr>
          <w:rFonts w:eastAsiaTheme="minorEastAsia"/>
          <w:bCs/>
          <w:i/>
          <w:szCs w:val="24"/>
        </w:rPr>
        <w:t>first</w:t>
      </w:r>
      <w:r>
        <w:rPr>
          <w:rFonts w:eastAsiaTheme="minorEastAsia"/>
          <w:bCs/>
          <w:szCs w:val="24"/>
        </w:rPr>
        <w:t xml:space="preserve"> macro assumption must be made, i.e., that KC equilibrium prevails with </w:t>
      </w:r>
      <w:r>
        <w:rPr>
          <w:rFonts w:eastAsiaTheme="minorEastAsia"/>
          <w:b/>
          <w:bCs/>
          <w:szCs w:val="24"/>
        </w:rPr>
        <w:t>I</w:t>
      </w:r>
      <w:r>
        <w:rPr>
          <w:rFonts w:eastAsiaTheme="minorEastAsia"/>
          <w:bCs/>
          <w:szCs w:val="24"/>
        </w:rPr>
        <w:t xml:space="preserve"> = </w:t>
      </w:r>
      <w:r>
        <w:rPr>
          <w:rFonts w:eastAsiaTheme="minorEastAsia"/>
          <w:b/>
          <w:bCs/>
          <w:szCs w:val="24"/>
        </w:rPr>
        <w:t>S</w:t>
      </w:r>
      <w:r>
        <w:rPr>
          <w:rFonts w:eastAsiaTheme="minorEastAsia"/>
          <w:bCs/>
          <w:szCs w:val="24"/>
        </w:rPr>
        <w:t xml:space="preserve">. Thus, </w:t>
      </w:r>
      <w:r>
        <w:rPr>
          <w:rFonts w:eastAsiaTheme="minorEastAsia"/>
          <w:b/>
          <w:bCs/>
          <w:i/>
          <w:color w:val="000000"/>
        </w:rPr>
        <w:t>α</w:t>
      </w:r>
      <w:r>
        <w:rPr>
          <w:rFonts w:eastAsiaTheme="minorEastAsia"/>
          <w:b/>
          <w:bCs/>
          <w:smallCaps/>
          <w:vertAlign w:val="subscript"/>
        </w:rPr>
        <w:t>y</w:t>
      </w:r>
      <w:r>
        <w:rPr>
          <w:rFonts w:eastAsiaTheme="minorEastAsia"/>
          <w:b/>
          <w:bCs/>
          <w:i/>
        </w:rPr>
        <w:t xml:space="preserve"> </w:t>
      </w:r>
      <w:r>
        <w:t>=</w:t>
      </w:r>
      <w:r w:rsidRPr="00B71607">
        <w:t xml:space="preserve"> </w:t>
      </w:r>
      <w:r>
        <w:rPr>
          <w:b/>
          <w:i/>
        </w:rPr>
        <w:t>s</w:t>
      </w:r>
      <w:r>
        <w:t xml:space="preserve">. </w:t>
      </w:r>
      <w:r w:rsidR="00E01F0F">
        <w:t xml:space="preserve">In turn, </w:t>
      </w:r>
      <w:r>
        <w:rPr>
          <w:rFonts w:eastAsiaTheme="minorEastAsia"/>
          <w:b/>
          <w:szCs w:val="24"/>
        </w:rPr>
        <w:t>g</w:t>
      </w:r>
      <w:r w:rsidR="005478EC">
        <w:t xml:space="preserve"> </w:t>
      </w:r>
      <w:r>
        <w:t>also e</w:t>
      </w:r>
      <w:r>
        <w:rPr>
          <w:rFonts w:eastAsiaTheme="minorEastAsia"/>
          <w:szCs w:val="24"/>
        </w:rPr>
        <w:t>quals the</w:t>
      </w:r>
      <w:r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warranted</w:t>
      </w:r>
      <w:r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growth</w:t>
      </w:r>
      <w:r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rate</w:t>
      </w:r>
      <w:r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that</w:t>
      </w:r>
      <w:r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Harrod</w:t>
      </w:r>
      <w:r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derived (</w:t>
      </w:r>
      <w:r>
        <w:rPr>
          <w:rFonts w:eastAsiaTheme="minorEastAsia"/>
          <w:b/>
          <w:i/>
          <w:szCs w:val="24"/>
        </w:rPr>
        <w:t>s</w:t>
      </w:r>
      <w:r>
        <w:rPr>
          <w:rFonts w:eastAsiaTheme="minorEastAsia"/>
          <w:szCs w:val="24"/>
        </w:rPr>
        <w:t>/</w:t>
      </w:r>
      <w:r w:rsidRPr="005C21D8">
        <w:rPr>
          <w:rFonts w:eastAsiaTheme="minorEastAsia"/>
          <w:b/>
          <w:i/>
          <w:szCs w:val="24"/>
        </w:rPr>
        <w:t>c</w:t>
      </w:r>
      <w:r>
        <w:rPr>
          <w:rFonts w:eastAsiaTheme="minorEastAsia"/>
          <w:szCs w:val="24"/>
        </w:rPr>
        <w:t xml:space="preserve">) as </w:t>
      </w:r>
      <w:r w:rsidR="00754150">
        <w:rPr>
          <w:rFonts w:eastAsiaTheme="minorEastAsia"/>
          <w:szCs w:val="24"/>
        </w:rPr>
        <w:t xml:space="preserve">seen </w:t>
      </w:r>
      <w:r>
        <w:rPr>
          <w:rFonts w:eastAsiaTheme="minorEastAsia"/>
          <w:szCs w:val="24"/>
        </w:rPr>
        <w:t xml:space="preserve">in equation </w:t>
      </w:r>
      <w:r>
        <w:rPr>
          <w:rFonts w:eastAsiaTheme="minorEastAsia"/>
          <w:szCs w:val="24"/>
        </w:rPr>
        <w:fldChar w:fldCharType="begin"/>
      </w:r>
      <w:r>
        <w:rPr>
          <w:rFonts w:eastAsiaTheme="minorEastAsia"/>
          <w:szCs w:val="24"/>
        </w:rPr>
        <w:instrText xml:space="preserve"> REF _Ref414452547 \h </w:instrText>
      </w:r>
      <w:r>
        <w:rPr>
          <w:rFonts w:eastAsiaTheme="minorEastAsia"/>
          <w:szCs w:val="24"/>
        </w:rPr>
      </w:r>
      <w:r>
        <w:rPr>
          <w:rFonts w:eastAsiaTheme="minorEastAsia"/>
          <w:szCs w:val="24"/>
        </w:rPr>
        <w:fldChar w:fldCharType="separate"/>
      </w:r>
      <w:r w:rsidR="00292438">
        <w:t>(</w:t>
      </w:r>
      <w:r w:rsidR="00292438">
        <w:rPr>
          <w:noProof/>
        </w:rPr>
        <w:t>2)</w:t>
      </w:r>
      <w:r>
        <w:rPr>
          <w:rFonts w:eastAsiaTheme="minorEastAsia"/>
          <w:szCs w:val="24"/>
        </w:rPr>
        <w:fldChar w:fldCharType="end"/>
      </w:r>
      <w:r>
        <w:rPr>
          <w:rFonts w:eastAsiaTheme="minorEastAsia"/>
          <w:szCs w:val="24"/>
        </w:rPr>
        <w:t xml:space="preserve"> above. </w:t>
      </w:r>
    </w:p>
    <w:p w:rsidR="00D42799" w:rsidRPr="00C266A8" w:rsidRDefault="00D42799" w:rsidP="00C31F28">
      <w:pPr>
        <w:rPr>
          <w:b/>
          <w:smallCaps/>
          <w:vertAlign w:val="subscript"/>
        </w:rPr>
      </w:pPr>
      <w:r>
        <w:t xml:space="preserve">However, this assumption does not mean that </w:t>
      </w:r>
      <w:r w:rsidR="00C266A8">
        <w:rPr>
          <w:b/>
          <w:i/>
        </w:rPr>
        <w:t>y</w:t>
      </w:r>
      <w:r>
        <w:t xml:space="preserve"> is constant.</w:t>
      </w:r>
      <w:r w:rsidR="00C266A8">
        <w:t xml:space="preserve"> </w:t>
      </w:r>
      <w:r w:rsidR="001F6A37">
        <w:t>Growing at the warranted rate is only necessary, but not sufficient to having a stable growth rate.</w:t>
      </w:r>
      <w:r w:rsidR="009F4BC2">
        <w:t xml:space="preserve"> </w:t>
      </w:r>
      <w:r w:rsidR="009F4BC2">
        <w:t xml:space="preserve">In fact, as far as I can tell, Harrod did not realized </w:t>
      </w:r>
      <w:r w:rsidR="009F4BC2">
        <w:t>this, even though his analysis implies it</w:t>
      </w:r>
      <w:r w:rsidR="009F4BC2">
        <w:t>.</w:t>
      </w:r>
      <w:r w:rsidR="001F6A37">
        <w:t xml:space="preserve"> To see this, examine the </w:t>
      </w:r>
      <w:r w:rsidR="00C266A8">
        <w:t>rate of growth of</w:t>
      </w:r>
      <w:r w:rsidR="005478EC">
        <w:t xml:space="preserve"> </w:t>
      </w:r>
      <w:r w:rsidR="00C266A8">
        <w:rPr>
          <w:b/>
          <w:i/>
        </w:rPr>
        <w:t>y</w:t>
      </w:r>
      <w:r w:rsidR="001F6A37">
        <w:t>, which</w:t>
      </w:r>
      <w:r w:rsidR="00C266A8">
        <w:rPr>
          <w:i/>
        </w:rPr>
        <w:t xml:space="preserve"> </w:t>
      </w:r>
      <w:r w:rsidR="00C266A8">
        <w:t xml:space="preserve">equals 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  <w:gridCol w:w="682"/>
      </w:tblGrid>
      <w:tr w:rsidR="00C266A8" w:rsidRPr="002D1EDD" w:rsidTr="003E159D">
        <w:trPr>
          <w:jc w:val="center"/>
        </w:trPr>
        <w:tc>
          <w:tcPr>
            <w:tcW w:w="8319" w:type="dxa"/>
          </w:tcPr>
          <w:p w:rsidR="00C266A8" w:rsidRPr="00C266A8" w:rsidRDefault="00C266A8" w:rsidP="00C266A8">
            <w:pPr>
              <w:pStyle w:val="H3"/>
              <w:numPr>
                <w:ilvl w:val="0"/>
                <w:numId w:val="0"/>
              </w:numPr>
              <w:ind w:left="144"/>
              <w:jc w:val="center"/>
              <w:rPr>
                <w:b/>
                <w:i/>
              </w:rPr>
            </w:pPr>
            <w:r w:rsidRPr="00CC7416">
              <w:t>∆</w:t>
            </w:r>
            <w:r>
              <w:rPr>
                <w:b/>
                <w:i/>
              </w:rPr>
              <w:t>y</w:t>
            </w:r>
            <w:r>
              <w:t>/</w:t>
            </w:r>
            <w:r>
              <w:rPr>
                <w:b/>
                <w:i/>
              </w:rPr>
              <w:t>y</w:t>
            </w:r>
            <w:r>
              <w:t xml:space="preserve"> = </w:t>
            </w:r>
            <w:r>
              <w:rPr>
                <w:b/>
              </w:rPr>
              <w:t>g</w:t>
            </w:r>
            <w:r>
              <w:t xml:space="preserve"> – </w:t>
            </w:r>
            <w:proofErr w:type="spellStart"/>
            <w:r>
              <w:rPr>
                <w:b/>
              </w:rPr>
              <w:t>g</w:t>
            </w:r>
            <w:r>
              <w:rPr>
                <w:b/>
                <w:smallCaps/>
                <w:vertAlign w:val="subscript"/>
              </w:rPr>
              <w:t>z</w:t>
            </w:r>
            <w:proofErr w:type="spellEnd"/>
            <w:r>
              <w:t xml:space="preserve"> </w:t>
            </w:r>
            <w:r w:rsidR="005478EC" w:rsidRPr="005478EC">
              <w:rPr>
                <w:color w:val="FFFFFF" w:themeColor="background1"/>
              </w:rPr>
              <w:t>_</w:t>
            </w:r>
            <w:r w:rsidR="005478EC">
              <w:t xml:space="preserve"> </w:t>
            </w:r>
            <w:r>
              <w:t xml:space="preserve">where </w:t>
            </w:r>
            <w:r w:rsidR="005478EC" w:rsidRPr="005478EC">
              <w:rPr>
                <w:color w:val="FFFFFF" w:themeColor="background1"/>
              </w:rPr>
              <w:t>__</w:t>
            </w:r>
            <w:r w:rsidR="005478EC">
              <w:t xml:space="preserve"> </w:t>
            </w:r>
            <w:proofErr w:type="spellStart"/>
            <w:r>
              <w:rPr>
                <w:b/>
              </w:rPr>
              <w:t>g</w:t>
            </w:r>
            <w:r>
              <w:rPr>
                <w:b/>
                <w:smallCaps/>
                <w:vertAlign w:val="subscript"/>
              </w:rPr>
              <w:t>z</w:t>
            </w:r>
            <w:proofErr w:type="spellEnd"/>
            <w:r>
              <w:t xml:space="preserve"> = </w:t>
            </w:r>
            <w:r w:rsidRPr="00CC7416">
              <w:t>∆</w:t>
            </w:r>
            <w:r>
              <w:rPr>
                <w:b/>
              </w:rPr>
              <w:t>Z</w:t>
            </w:r>
            <w:r>
              <w:t>/</w:t>
            </w:r>
            <w:r>
              <w:rPr>
                <w:b/>
              </w:rPr>
              <w:t>Z</w:t>
            </w:r>
            <w:r>
              <w:t xml:space="preserve"> = (</w:t>
            </w:r>
            <w:r>
              <w:rPr>
                <w:b/>
              </w:rPr>
              <w:t>I</w:t>
            </w:r>
            <w:r>
              <w:t>/</w:t>
            </w:r>
            <w:r>
              <w:rPr>
                <w:b/>
                <w:i/>
              </w:rPr>
              <w:t>c</w:t>
            </w:r>
            <w:r>
              <w:t>)/</w:t>
            </w:r>
            <w:r>
              <w:rPr>
                <w:b/>
              </w:rPr>
              <w:t>Z</w:t>
            </w:r>
            <w:r>
              <w:t xml:space="preserve"> = </w:t>
            </w:r>
            <w:r w:rsidRPr="00DD3A01">
              <w:rPr>
                <w:b/>
                <w:bCs/>
                <w:i/>
              </w:rPr>
              <w:t>α</w:t>
            </w:r>
            <w:r>
              <w:t>/</w:t>
            </w:r>
            <w:r w:rsidRPr="005478EC">
              <w:rPr>
                <w:b/>
                <w:i/>
              </w:rPr>
              <w:t>c</w:t>
            </w:r>
          </w:p>
        </w:tc>
        <w:tc>
          <w:tcPr>
            <w:tcW w:w="682" w:type="dxa"/>
          </w:tcPr>
          <w:p w:rsidR="00C266A8" w:rsidRPr="002D1EDD" w:rsidRDefault="005478EC" w:rsidP="003E159D">
            <w:pPr>
              <w:pStyle w:val="H4"/>
              <w:numPr>
                <w:ilvl w:val="0"/>
                <w:numId w:val="0"/>
              </w:numPr>
              <w:outlineLvl w:val="9"/>
            </w:pPr>
            <w:bookmarkStart w:id="20" w:name="_Ref414526745"/>
            <w:r>
              <w:t>(</w:t>
            </w:r>
            <w:fldSimple w:instr=" SEQ Equation \* ARABIC ">
              <w:r w:rsidR="00292438">
                <w:rPr>
                  <w:noProof/>
                </w:rPr>
                <w:t>6</w:t>
              </w:r>
            </w:fldSimple>
            <w:r>
              <w:t>)</w:t>
            </w:r>
            <w:bookmarkEnd w:id="20"/>
          </w:p>
        </w:tc>
      </w:tr>
    </w:tbl>
    <w:p w:rsidR="00837A39" w:rsidRDefault="005478EC" w:rsidP="00C31F28">
      <w:pPr>
        <w:rPr>
          <w:rFonts w:eastAsiaTheme="minorEastAsia"/>
          <w:bCs/>
          <w:szCs w:val="24"/>
        </w:rPr>
      </w:pPr>
      <w:r>
        <w:t xml:space="preserve">By </w:t>
      </w:r>
      <w:r>
        <w:fldChar w:fldCharType="begin"/>
      </w:r>
      <w:r>
        <w:instrText xml:space="preserve"> REF _Ref412901243 \h </w:instrText>
      </w:r>
      <w:r>
        <w:fldChar w:fldCharType="separate"/>
      </w:r>
      <w:r w:rsidR="00292438">
        <w:t>(</w:t>
      </w:r>
      <w:r w:rsidR="00292438">
        <w:rPr>
          <w:noProof/>
        </w:rPr>
        <w:t>5</w:t>
      </w:r>
      <w:r>
        <w:fldChar w:fldCharType="end"/>
      </w:r>
      <w:r>
        <w:t xml:space="preserve">’), for </w:t>
      </w:r>
      <w:r>
        <w:rPr>
          <w:b/>
          <w:i/>
        </w:rPr>
        <w:t>y</w:t>
      </w:r>
      <w:r>
        <w:t xml:space="preserve"> to be constant, </w:t>
      </w:r>
      <w:r w:rsidR="00D06723">
        <w:rPr>
          <w:b/>
        </w:rPr>
        <w:t>g</w:t>
      </w:r>
      <w:r w:rsidR="00D06723">
        <w:t xml:space="preserve"> = </w:t>
      </w:r>
      <w:r>
        <w:rPr>
          <w:rFonts w:eastAsiaTheme="minorEastAsia"/>
          <w:b/>
          <w:bCs/>
          <w:i/>
        </w:rPr>
        <w:t>α</w:t>
      </w:r>
      <w:r>
        <w:rPr>
          <w:rFonts w:eastAsiaTheme="minorEastAsia"/>
          <w:bCs/>
        </w:rPr>
        <w:t>/</w:t>
      </w:r>
      <w:proofErr w:type="spellStart"/>
      <w:r>
        <w:rPr>
          <w:rFonts w:eastAsiaTheme="minorEastAsia"/>
          <w:b/>
          <w:bCs/>
          <w:i/>
        </w:rPr>
        <w:t>c</w:t>
      </w:r>
      <w:r>
        <w:rPr>
          <w:rFonts w:eastAsiaTheme="minorEastAsia"/>
          <w:bCs/>
        </w:rPr>
        <w:t>·</w:t>
      </w:r>
      <w:r>
        <w:rPr>
          <w:rFonts w:eastAsiaTheme="minorEastAsia"/>
          <w:b/>
          <w:bCs/>
          <w:i/>
        </w:rPr>
        <w:t>y</w:t>
      </w:r>
      <w:proofErr w:type="spellEnd"/>
      <w:r>
        <w:rPr>
          <w:rFonts w:eastAsiaTheme="minorEastAsia"/>
          <w:bCs/>
        </w:rPr>
        <w:t xml:space="preserve"> must equal </w:t>
      </w:r>
      <w:proofErr w:type="spellStart"/>
      <w:r w:rsidR="00D06723">
        <w:rPr>
          <w:rFonts w:eastAsiaTheme="minorEastAsia"/>
          <w:b/>
          <w:bCs/>
        </w:rPr>
        <w:t>g</w:t>
      </w:r>
      <w:r w:rsidR="00D06723">
        <w:rPr>
          <w:rFonts w:eastAsiaTheme="minorEastAsia"/>
          <w:b/>
          <w:bCs/>
          <w:smallCaps/>
          <w:vertAlign w:val="subscript"/>
        </w:rPr>
        <w:t>w</w:t>
      </w:r>
      <w:proofErr w:type="spellEnd"/>
      <w:r w:rsidR="00D06723">
        <w:rPr>
          <w:rFonts w:eastAsiaTheme="minorEastAsia"/>
          <w:bCs/>
        </w:rPr>
        <w:t xml:space="preserve"> = </w:t>
      </w:r>
      <w:r w:rsidRPr="005478EC">
        <w:rPr>
          <w:rFonts w:eastAsiaTheme="minorEastAsia"/>
          <w:b/>
          <w:bCs/>
          <w:i/>
        </w:rPr>
        <w:t>α</w:t>
      </w:r>
      <w:r>
        <w:rPr>
          <w:rFonts w:eastAsiaTheme="minorEastAsia"/>
          <w:bCs/>
        </w:rPr>
        <w:t>/</w:t>
      </w:r>
      <w:r>
        <w:rPr>
          <w:rFonts w:eastAsiaTheme="minorEastAsia"/>
          <w:b/>
          <w:bCs/>
          <w:i/>
        </w:rPr>
        <w:t>c</w:t>
      </w:r>
      <w:r w:rsidR="00D06723">
        <w:rPr>
          <w:rFonts w:eastAsiaTheme="minorEastAsia"/>
          <w:bCs/>
        </w:rPr>
        <w:t>, so that</w:t>
      </w:r>
      <w:r>
        <w:rPr>
          <w:rFonts w:eastAsiaTheme="minorEastAsia"/>
          <w:bCs/>
        </w:rPr>
        <w:t xml:space="preserve"> </w:t>
      </w:r>
      <w:r>
        <w:rPr>
          <w:b/>
          <w:i/>
        </w:rPr>
        <w:t>y</w:t>
      </w:r>
      <w:r>
        <w:t xml:space="preserve"> must equal 1. The </w:t>
      </w:r>
      <w:r w:rsidRPr="00BE2224">
        <w:rPr>
          <w:i/>
        </w:rPr>
        <w:t>se</w:t>
      </w:r>
      <w:r w:rsidRPr="00BE2224">
        <w:rPr>
          <w:i/>
        </w:rPr>
        <w:t>c</w:t>
      </w:r>
      <w:r w:rsidRPr="00BE2224">
        <w:rPr>
          <w:i/>
        </w:rPr>
        <w:t>ond</w:t>
      </w:r>
      <w:r>
        <w:t xml:space="preserve"> macro assumption is that this is true.</w:t>
      </w:r>
      <w:r w:rsidR="008141E5">
        <w:t xml:space="preserve"> This is </w:t>
      </w:r>
      <w:r w:rsidR="00D06723">
        <w:t xml:space="preserve">like </w:t>
      </w:r>
      <w:r w:rsidR="008141E5">
        <w:t xml:space="preserve">Say’s axiom, except that the assumed “full employment” applies </w:t>
      </w:r>
      <w:r w:rsidR="007C7978">
        <w:t xml:space="preserve">only </w:t>
      </w:r>
      <w:r w:rsidR="008141E5">
        <w:t xml:space="preserve">to fixed industrial capacity </w:t>
      </w:r>
      <w:r w:rsidR="007C7978">
        <w:t xml:space="preserve">and not </w:t>
      </w:r>
      <w:r w:rsidR="008141E5">
        <w:t>to l</w:t>
      </w:r>
      <w:r w:rsidR="008141E5">
        <w:t>a</w:t>
      </w:r>
      <w:r w:rsidR="008141E5">
        <w:t>bor</w:t>
      </w:r>
      <w:r w:rsidR="007C7978">
        <w:t>-power</w:t>
      </w:r>
      <w:r w:rsidR="008141E5">
        <w:t>.</w:t>
      </w:r>
      <w:r w:rsidR="003B19D0">
        <w:t xml:space="preserve"> </w:t>
      </w:r>
    </w:p>
    <w:p w:rsidR="00B5391F" w:rsidRPr="00970110" w:rsidRDefault="00EF27A3" w:rsidP="00C31F28">
      <w:pPr>
        <w:rPr>
          <w:rFonts w:eastAsiaTheme="minorEastAsia"/>
          <w:szCs w:val="24"/>
        </w:rPr>
      </w:pPr>
      <w:r>
        <w:t>Note that, u</w:t>
      </w:r>
      <w:r w:rsidR="007B60A0">
        <w:t>nlike in NC growth models, saving</w:t>
      </w:r>
      <w:r w:rsidR="007B60A0" w:rsidRPr="009A54F9">
        <w:t xml:space="preserve"> </w:t>
      </w:r>
      <w:r w:rsidR="007B60A0">
        <w:t>does</w:t>
      </w:r>
      <w:r w:rsidR="007B60A0" w:rsidRPr="009A54F9">
        <w:t xml:space="preserve"> </w:t>
      </w:r>
      <w:r w:rsidR="007B60A0">
        <w:t>not</w:t>
      </w:r>
      <w:r w:rsidR="007B60A0" w:rsidRPr="009A54F9">
        <w:t xml:space="preserve"> </w:t>
      </w:r>
      <w:r w:rsidR="007B60A0" w:rsidRPr="00EB4EA8">
        <w:t>determine</w:t>
      </w:r>
      <w:r w:rsidR="007B60A0" w:rsidRPr="009A54F9">
        <w:t xml:space="preserve"> </w:t>
      </w:r>
      <w:r w:rsidR="007B60A0">
        <w:t>investment</w:t>
      </w:r>
      <w:r w:rsidR="00B848B5">
        <w:t xml:space="preserve"> </w:t>
      </w:r>
      <w:r w:rsidR="002C7436">
        <w:t>while</w:t>
      </w:r>
      <w:r w:rsidR="00B848B5">
        <w:t xml:space="preserve"> </w:t>
      </w:r>
      <w:r w:rsidR="00B848B5" w:rsidRPr="005C21D8">
        <w:rPr>
          <w:b/>
          <w:i/>
        </w:rPr>
        <w:t>s</w:t>
      </w:r>
      <w:r w:rsidR="00B848B5">
        <w:t xml:space="preserve"> does not determine </w:t>
      </w:r>
      <w:r w:rsidR="00CE4F70">
        <w:rPr>
          <w:rFonts w:eastAsiaTheme="minorEastAsia"/>
          <w:b/>
          <w:bCs/>
          <w:i/>
          <w:color w:val="000000"/>
        </w:rPr>
        <w:t>α</w:t>
      </w:r>
      <w:r w:rsidR="00CE4F70">
        <w:rPr>
          <w:rFonts w:eastAsiaTheme="minorEastAsia"/>
          <w:b/>
          <w:bCs/>
          <w:smallCaps/>
          <w:vertAlign w:val="subscript"/>
        </w:rPr>
        <w:t>y</w:t>
      </w:r>
      <w:r w:rsidR="007B60A0">
        <w:t xml:space="preserve">. Instead, </w:t>
      </w:r>
      <w:r w:rsidR="00B848B5">
        <w:t xml:space="preserve">the exogenously-given </w:t>
      </w:r>
      <w:r w:rsidR="001E298C">
        <w:rPr>
          <w:b/>
          <w:i/>
        </w:rPr>
        <w:t xml:space="preserve">s </w:t>
      </w:r>
      <w:r w:rsidR="007B60A0">
        <w:t>determines</w:t>
      </w:r>
      <w:r w:rsidR="007B60A0" w:rsidRPr="009A54F9">
        <w:t xml:space="preserve"> </w:t>
      </w:r>
      <w:r w:rsidR="007B60A0">
        <w:t>the</w:t>
      </w:r>
      <w:r w:rsidR="007B60A0" w:rsidRPr="009A54F9">
        <w:t xml:space="preserve"> </w:t>
      </w:r>
      <w:r w:rsidR="007B60A0">
        <w:t xml:space="preserve">accumulation rate which </w:t>
      </w:r>
      <w:r w:rsidR="00B848B5">
        <w:t xml:space="preserve">is </w:t>
      </w:r>
      <w:r w:rsidR="007B60A0" w:rsidRPr="00904CF1">
        <w:rPr>
          <w:i/>
        </w:rPr>
        <w:t>required</w:t>
      </w:r>
      <w:r w:rsidR="007B60A0" w:rsidRPr="009A54F9">
        <w:t xml:space="preserve"> </w:t>
      </w:r>
      <w:r w:rsidR="007B60A0">
        <w:t>for KC equilibrium to occur</w:t>
      </w:r>
      <w:r w:rsidR="00970110">
        <w:t xml:space="preserve"> with </w:t>
      </w:r>
      <w:r w:rsidR="00970110">
        <w:rPr>
          <w:b/>
        </w:rPr>
        <w:t>g</w:t>
      </w:r>
      <w:r w:rsidR="00970110">
        <w:t xml:space="preserve"> = </w:t>
      </w:r>
      <w:proofErr w:type="spellStart"/>
      <w:r w:rsidR="00970110">
        <w:rPr>
          <w:b/>
        </w:rPr>
        <w:t>g</w:t>
      </w:r>
      <w:r w:rsidR="00970110">
        <w:rPr>
          <w:b/>
          <w:smallCaps/>
          <w:vertAlign w:val="subscript"/>
        </w:rPr>
        <w:t>w</w:t>
      </w:r>
      <w:proofErr w:type="spellEnd"/>
      <w:r w:rsidR="008078E2">
        <w:t xml:space="preserve"> = </w:t>
      </w:r>
      <w:r w:rsidR="008078E2" w:rsidRPr="008078E2">
        <w:rPr>
          <w:b/>
          <w:i/>
        </w:rPr>
        <w:t>s</w:t>
      </w:r>
      <w:r w:rsidR="008078E2">
        <w:t>/</w:t>
      </w:r>
      <w:r w:rsidR="008078E2" w:rsidRPr="008078E2">
        <w:rPr>
          <w:b/>
          <w:i/>
        </w:rPr>
        <w:t>c</w:t>
      </w:r>
      <w:r w:rsidR="00970110">
        <w:t xml:space="preserve">. </w:t>
      </w:r>
      <w:r w:rsidR="008D3B97">
        <w:t xml:space="preserve">The equation does not </w:t>
      </w:r>
      <w:r w:rsidR="00984D0A">
        <w:t xml:space="preserve">imply </w:t>
      </w:r>
      <w:r w:rsidR="008D3B97">
        <w:t xml:space="preserve">that </w:t>
      </w:r>
      <w:r w:rsidR="001E298C">
        <w:t xml:space="preserve">all </w:t>
      </w:r>
      <w:r w:rsidR="008D3B97">
        <w:t>actual growth</w:t>
      </w:r>
      <w:r w:rsidR="001E298C">
        <w:t xml:space="preserve"> paths </w:t>
      </w:r>
      <w:r w:rsidR="00984D0A">
        <w:t>that occur</w:t>
      </w:r>
      <w:r w:rsidR="001E298C">
        <w:t xml:space="preserve"> are</w:t>
      </w:r>
      <w:r w:rsidR="008D3B97">
        <w:t xml:space="preserve"> warranted. </w:t>
      </w:r>
    </w:p>
    <w:p w:rsidR="001B4F24" w:rsidRDefault="001B4F24" w:rsidP="001B4F24">
      <w:pPr>
        <w:spacing w:line="240" w:lineRule="auto"/>
      </w:pPr>
      <w:r>
        <w:rPr>
          <w:noProof/>
        </w:rPr>
        <w:t>In</w:t>
      </w:r>
      <w:r w:rsidRPr="00B71607">
        <w:rPr>
          <w:noProof/>
        </w:rPr>
        <w:t xml:space="preserve"> </w:t>
      </w:r>
      <w:r>
        <w:rPr>
          <w:noProof/>
        </w:rPr>
        <w:t>sum,</w:t>
      </w:r>
      <w:r w:rsidRPr="00B71607">
        <w:rPr>
          <w:noProof/>
        </w:rPr>
        <w:t xml:space="preserve"> </w:t>
      </w:r>
      <w:r w:rsidRPr="00D4213A">
        <w:rPr>
          <w:noProof/>
        </w:rPr>
        <w:t>Harrod’s</w:t>
      </w:r>
      <w:r w:rsidRPr="00B71607">
        <w:t xml:space="preserve"> </w:t>
      </w:r>
      <w:r>
        <w:t>warranted</w:t>
      </w:r>
      <w:r w:rsidRPr="00B71607">
        <w:t xml:space="preserve"> </w:t>
      </w:r>
      <w:r>
        <w:t>growth</w:t>
      </w:r>
      <w:r w:rsidRPr="00B71607">
        <w:t xml:space="preserve"> </w:t>
      </w:r>
      <w:r>
        <w:t>rate</w:t>
      </w:r>
      <w:r w:rsidRPr="00B71607">
        <w:t xml:space="preserve"> </w:t>
      </w:r>
      <w:r>
        <w:t>describes</w:t>
      </w:r>
      <w:r w:rsidRPr="00B71607">
        <w:t xml:space="preserve"> </w:t>
      </w:r>
      <w:r>
        <w:t xml:space="preserve">a </w:t>
      </w:r>
      <w:r w:rsidRPr="00EE5A1C">
        <w:t>moving</w:t>
      </w:r>
      <w:r w:rsidRPr="00B71607">
        <w:t xml:space="preserve"> </w:t>
      </w:r>
      <w:r w:rsidRPr="00EE5A1C">
        <w:t>equilibrium</w:t>
      </w:r>
      <w:r w:rsidRPr="00B71607">
        <w:t xml:space="preserve"> </w:t>
      </w:r>
      <w:r>
        <w:t>of</w:t>
      </w:r>
      <w:r w:rsidRPr="00B71607">
        <w:t xml:space="preserve"> </w:t>
      </w:r>
      <w:r>
        <w:t>the</w:t>
      </w:r>
      <w:r w:rsidRPr="00B71607">
        <w:t xml:space="preserve"> </w:t>
      </w:r>
      <w:r w:rsidRPr="00EE5A1C">
        <w:t>acceler</w:t>
      </w:r>
      <w:r w:rsidRPr="00EE5A1C">
        <w:t>a</w:t>
      </w:r>
      <w:r w:rsidRPr="00EE5A1C">
        <w:t>tor/multiplier</w:t>
      </w:r>
      <w:r w:rsidRPr="00B71607">
        <w:t xml:space="preserve"> </w:t>
      </w:r>
      <w:r>
        <w:t>sort</w:t>
      </w:r>
      <w:r w:rsidRPr="00EE5A1C">
        <w:t>.</w:t>
      </w:r>
      <w:r w:rsidRPr="00B71607">
        <w:t xml:space="preserve"> </w:t>
      </w:r>
      <w:r w:rsidRPr="00EE5A1C">
        <w:t>Unlike</w:t>
      </w:r>
      <w:r w:rsidRPr="00B71607">
        <w:t xml:space="preserve"> </w:t>
      </w:r>
      <w:r w:rsidRPr="00EE5A1C">
        <w:t>in</w:t>
      </w:r>
      <w:r w:rsidRPr="00B71607">
        <w:t xml:space="preserve"> </w:t>
      </w:r>
      <w:r>
        <w:t>the</w:t>
      </w:r>
      <w:r w:rsidRPr="00B71607">
        <w:t xml:space="preserve"> </w:t>
      </w:r>
      <w:r>
        <w:t>accelerator-multiplier</w:t>
      </w:r>
      <w:r w:rsidRPr="00B71607">
        <w:t xml:space="preserve"> </w:t>
      </w:r>
      <w:r>
        <w:t>models</w:t>
      </w:r>
      <w:r w:rsidRPr="00B71607">
        <w:t xml:space="preserve"> </w:t>
      </w:r>
      <w:r>
        <w:t>of</w:t>
      </w:r>
      <w:r w:rsidRPr="00B71607">
        <w:t xml:space="preserve"> </w:t>
      </w:r>
      <w:r w:rsidRPr="00EE5A1C">
        <w:t>Samuelson</w:t>
      </w:r>
      <w:r w:rsidRPr="00B71607">
        <w:t xml:space="preserve"> </w:t>
      </w:r>
      <w:r w:rsidRPr="00EE5A1C">
        <w:t>(1939)</w:t>
      </w:r>
      <w:r w:rsidRPr="00B71607">
        <w:t xml:space="preserve"> </w:t>
      </w:r>
      <w:r w:rsidRPr="00EE5A1C">
        <w:t>or</w:t>
      </w:r>
      <w:r w:rsidRPr="00B71607">
        <w:t xml:space="preserve"> </w:t>
      </w:r>
      <w:r w:rsidRPr="00EE5A1C">
        <w:t>Hicks</w:t>
      </w:r>
      <w:r w:rsidRPr="00B71607">
        <w:t xml:space="preserve"> </w:t>
      </w:r>
      <w:r w:rsidRPr="00EE5A1C">
        <w:t>(1949),</w:t>
      </w:r>
      <w:r w:rsidRPr="00B71607">
        <w:t xml:space="preserve"> </w:t>
      </w:r>
      <w:r w:rsidRPr="00EE5A1C">
        <w:t>however,</w:t>
      </w:r>
      <w:r w:rsidRPr="00B71607">
        <w:t xml:space="preserve"> </w:t>
      </w:r>
      <w:r w:rsidRPr="00EE5A1C">
        <w:t>it</w:t>
      </w:r>
      <w:r w:rsidRPr="00B71607">
        <w:t xml:space="preserve"> </w:t>
      </w:r>
      <w:r w:rsidRPr="00EE5A1C">
        <w:t>is</w:t>
      </w:r>
      <w:r w:rsidRPr="00B71607">
        <w:t xml:space="preserve"> </w:t>
      </w:r>
      <w:r w:rsidRPr="00EE5A1C">
        <w:t>not</w:t>
      </w:r>
      <w:r w:rsidRPr="00B71607">
        <w:t xml:space="preserve"> </w:t>
      </w:r>
      <w:r w:rsidRPr="00EE5A1C">
        <w:t>the</w:t>
      </w:r>
      <w:r w:rsidRPr="00B71607">
        <w:t xml:space="preserve"> </w:t>
      </w:r>
      <w:r w:rsidRPr="00EE5A1C">
        <w:t>magnitudes</w:t>
      </w:r>
      <w:r w:rsidRPr="00B71607">
        <w:t xml:space="preserve"> </w:t>
      </w:r>
      <w:r w:rsidRPr="00EE5A1C">
        <w:t>of</w:t>
      </w:r>
      <w:r w:rsidRPr="00B71607">
        <w:t xml:space="preserve"> </w:t>
      </w:r>
      <w:r w:rsidRPr="00EE5A1C">
        <w:rPr>
          <w:b/>
          <w:bCs/>
          <w:i/>
        </w:rPr>
        <w:t>s</w:t>
      </w:r>
      <w:r w:rsidRPr="00B71607">
        <w:t xml:space="preserve"> </w:t>
      </w:r>
      <w:r w:rsidRPr="00EE5A1C">
        <w:t>and</w:t>
      </w:r>
      <w:r w:rsidRPr="00B71607">
        <w:t xml:space="preserve"> </w:t>
      </w:r>
      <w:r>
        <w:rPr>
          <w:b/>
          <w:i/>
        </w:rPr>
        <w:t>c</w:t>
      </w:r>
      <w:r w:rsidRPr="00B71607">
        <w:t xml:space="preserve"> </w:t>
      </w:r>
      <w:r w:rsidRPr="00EE5A1C">
        <w:t>that</w:t>
      </w:r>
      <w:r w:rsidRPr="00B71607">
        <w:t xml:space="preserve"> </w:t>
      </w:r>
      <w:r>
        <w:t>can</w:t>
      </w:r>
      <w:r w:rsidRPr="00B71607">
        <w:t xml:space="preserve"> </w:t>
      </w:r>
      <w:r w:rsidRPr="00EE5A1C">
        <w:t>imply</w:t>
      </w:r>
      <w:r w:rsidRPr="00B71607">
        <w:t xml:space="preserve"> </w:t>
      </w:r>
      <w:r w:rsidRPr="00EE5A1C">
        <w:t>instability</w:t>
      </w:r>
      <w:r w:rsidR="00F87AB0">
        <w:t>: t</w:t>
      </w:r>
      <w:r>
        <w:t>he</w:t>
      </w:r>
      <w:r w:rsidRPr="00B71607">
        <w:t xml:space="preserve"> </w:t>
      </w:r>
      <w:r>
        <w:t>moving</w:t>
      </w:r>
      <w:r w:rsidRPr="00B71607">
        <w:t xml:space="preserve"> </w:t>
      </w:r>
      <w:r w:rsidRPr="00EE5A1C">
        <w:t>equilibrium</w:t>
      </w:r>
      <w:r w:rsidRPr="00B71607">
        <w:t xml:space="preserve"> </w:t>
      </w:r>
      <w:r w:rsidRPr="00EE5A1C">
        <w:t>is</w:t>
      </w:r>
      <w:r w:rsidRPr="00B71607">
        <w:t xml:space="preserve"> </w:t>
      </w:r>
      <w:r w:rsidRPr="00EE5A1C">
        <w:t>unstable</w:t>
      </w:r>
      <w:r w:rsidRPr="00B71607">
        <w:t xml:space="preserve"> </w:t>
      </w:r>
      <w:r w:rsidRPr="00EE5A1C">
        <w:rPr>
          <w:i/>
        </w:rPr>
        <w:t>even</w:t>
      </w:r>
      <w:r w:rsidRPr="00B71607">
        <w:t xml:space="preserve"> </w:t>
      </w:r>
      <w:r w:rsidRPr="00EE5A1C">
        <w:rPr>
          <w:i/>
        </w:rPr>
        <w:t>when</w:t>
      </w:r>
      <w:r w:rsidRPr="00B71607">
        <w:t xml:space="preserve"> </w:t>
      </w:r>
      <w:r w:rsidRPr="00EE5A1C">
        <w:t>the</w:t>
      </w:r>
      <w:r w:rsidRPr="00B71607">
        <w:t xml:space="preserve"> </w:t>
      </w:r>
      <w:r w:rsidRPr="00EE5A1C">
        <w:t>values</w:t>
      </w:r>
      <w:r w:rsidRPr="00B71607">
        <w:t xml:space="preserve"> </w:t>
      </w:r>
      <w:r w:rsidRPr="00EE5A1C">
        <w:t>of</w:t>
      </w:r>
      <w:r w:rsidRPr="00B71607">
        <w:t xml:space="preserve"> </w:t>
      </w:r>
      <w:r>
        <w:rPr>
          <w:b/>
          <w:i/>
        </w:rPr>
        <w:t>c</w:t>
      </w:r>
      <w:r w:rsidRPr="00B71607">
        <w:t xml:space="preserve"> </w:t>
      </w:r>
      <w:r w:rsidRPr="00EE5A1C">
        <w:t>and</w:t>
      </w:r>
      <w:r w:rsidRPr="00B71607">
        <w:t xml:space="preserve"> </w:t>
      </w:r>
      <w:r w:rsidRPr="00EE5A1C">
        <w:rPr>
          <w:b/>
          <w:i/>
        </w:rPr>
        <w:t>s</w:t>
      </w:r>
      <w:r w:rsidRPr="00B71607">
        <w:t xml:space="preserve"> </w:t>
      </w:r>
      <w:r w:rsidRPr="00EE5A1C">
        <w:t>imply</w:t>
      </w:r>
      <w:r w:rsidRPr="00B71607">
        <w:t xml:space="preserve"> </w:t>
      </w:r>
      <w:r w:rsidRPr="00EE5A1C">
        <w:t>that</w:t>
      </w:r>
      <w:r w:rsidRPr="00B71607">
        <w:t xml:space="preserve"> </w:t>
      </w:r>
      <w:r w:rsidRPr="00EE5A1C">
        <w:t>a</w:t>
      </w:r>
      <w:r w:rsidRPr="00B71607">
        <w:t xml:space="preserve"> </w:t>
      </w:r>
      <w:r w:rsidR="00376723">
        <w:rPr>
          <w:noProof/>
        </w:rPr>
        <w:t>Samuelson</w:t>
      </w:r>
      <w:r w:rsidR="00376723">
        <w:t>-type</w:t>
      </w:r>
      <w:r w:rsidR="00376723" w:rsidRPr="00EE5A1C">
        <w:t xml:space="preserve"> </w:t>
      </w:r>
      <w:r w:rsidRPr="00EE5A1C">
        <w:t>accelerator/multiplier</w:t>
      </w:r>
      <w:r w:rsidRPr="00B71607">
        <w:t xml:space="preserve"> </w:t>
      </w:r>
      <w:r w:rsidR="00376723">
        <w:t>KSR</w:t>
      </w:r>
      <w:r w:rsidR="00376723" w:rsidRPr="00B71607">
        <w:t xml:space="preserve"> </w:t>
      </w:r>
      <w:r w:rsidRPr="00EE5A1C">
        <w:t>model</w:t>
      </w:r>
      <w:r w:rsidRPr="00B71607">
        <w:t xml:space="preserve"> </w:t>
      </w:r>
      <w:r>
        <w:t>has</w:t>
      </w:r>
      <w:r w:rsidRPr="00B71607">
        <w:t xml:space="preserve"> </w:t>
      </w:r>
      <w:r w:rsidRPr="00EE5A1C">
        <w:t>smooth</w:t>
      </w:r>
      <w:r w:rsidRPr="00B71607">
        <w:t xml:space="preserve"> </w:t>
      </w:r>
      <w:r w:rsidRPr="00EE5A1C">
        <w:t>equilibration</w:t>
      </w:r>
      <w:r w:rsidRPr="00B71607">
        <w:t xml:space="preserve"> </w:t>
      </w:r>
      <w:r w:rsidRPr="00EE5A1C">
        <w:t>or</w:t>
      </w:r>
      <w:r w:rsidRPr="00B71607">
        <w:t xml:space="preserve"> </w:t>
      </w:r>
      <w:r w:rsidRPr="00EE5A1C">
        <w:t>damped</w:t>
      </w:r>
      <w:r w:rsidRPr="00B71607">
        <w:t xml:space="preserve"> </w:t>
      </w:r>
      <w:r w:rsidRPr="00EE5A1C">
        <w:t>oscillation.</w:t>
      </w:r>
      <w:r w:rsidRPr="00B71607">
        <w:t xml:space="preserve"> </w:t>
      </w:r>
      <w:r>
        <w:t>I</w:t>
      </w:r>
      <w:r>
        <w:t>n</w:t>
      </w:r>
      <w:r>
        <w:t>stability</w:t>
      </w:r>
      <w:r w:rsidRPr="00B71607">
        <w:t xml:space="preserve"> </w:t>
      </w:r>
      <w:r>
        <w:t>arises</w:t>
      </w:r>
      <w:r w:rsidRPr="00B71607">
        <w:t xml:space="preserve"> </w:t>
      </w:r>
      <w:r>
        <w:t>instead</w:t>
      </w:r>
      <w:r w:rsidRPr="00B71607">
        <w:t xml:space="preserve"> </w:t>
      </w:r>
      <w:r w:rsidR="005B64C5">
        <w:t xml:space="preserve">due to </w:t>
      </w:r>
      <w:r>
        <w:t>the</w:t>
      </w:r>
      <w:r w:rsidRPr="00B71607">
        <w:t xml:space="preserve"> </w:t>
      </w:r>
      <w:r>
        <w:t>key</w:t>
      </w:r>
      <w:r w:rsidRPr="00B71607">
        <w:t xml:space="preserve"> </w:t>
      </w:r>
      <w:r>
        <w:t>element</w:t>
      </w:r>
      <w:r w:rsidRPr="00B71607">
        <w:t xml:space="preserve"> </w:t>
      </w:r>
      <w:r w:rsidRPr="00EE5A1C">
        <w:t>elided</w:t>
      </w:r>
      <w:r w:rsidRPr="00B71607">
        <w:t xml:space="preserve"> </w:t>
      </w:r>
      <w:r>
        <w:t>by</w:t>
      </w:r>
      <w:r w:rsidRPr="00B71607">
        <w:t xml:space="preserve"> </w:t>
      </w:r>
      <w:r>
        <w:t>KSR</w:t>
      </w:r>
      <w:r w:rsidRPr="00B71607">
        <w:t xml:space="preserve"> </w:t>
      </w:r>
      <w:r>
        <w:t>analyse</w:t>
      </w:r>
      <w:r w:rsidRPr="00EE5A1C">
        <w:t>s</w:t>
      </w:r>
      <w:r>
        <w:t>,</w:t>
      </w:r>
      <w:r w:rsidRPr="00B71607">
        <w:t xml:space="preserve"> </w:t>
      </w:r>
      <w:r>
        <w:t>i.e.,</w:t>
      </w:r>
      <w:r w:rsidRPr="00B71607">
        <w:t xml:space="preserve"> </w:t>
      </w:r>
      <w:r w:rsidRPr="00EE5A1C">
        <w:t>the</w:t>
      </w:r>
      <w:r w:rsidRPr="00B71607">
        <w:t xml:space="preserve"> </w:t>
      </w:r>
      <w:r w:rsidRPr="00EE5A1C">
        <w:t>growth</w:t>
      </w:r>
      <w:r w:rsidRPr="00B71607">
        <w:t xml:space="preserve"> </w:t>
      </w:r>
      <w:r w:rsidRPr="00EE5A1C">
        <w:t>of</w:t>
      </w:r>
      <w:r w:rsidRPr="00B71607">
        <w:t xml:space="preserve"> </w:t>
      </w:r>
      <w:r w:rsidRPr="00EE5A1C">
        <w:rPr>
          <w:b/>
        </w:rPr>
        <w:t>Z</w:t>
      </w:r>
      <w:r w:rsidRPr="00B71607">
        <w:t xml:space="preserve"> </w:t>
      </w:r>
      <w:r w:rsidRPr="00EE5A1C">
        <w:t>over</w:t>
      </w:r>
      <w:r w:rsidRPr="00B71607">
        <w:t xml:space="preserve"> </w:t>
      </w:r>
      <w:r w:rsidRPr="00EE5A1C">
        <w:t>time</w:t>
      </w:r>
      <w:r w:rsidRPr="00B71607">
        <w:t xml:space="preserve"> </w:t>
      </w:r>
      <w:r w:rsidRPr="00132626">
        <w:rPr>
          <w:i/>
        </w:rPr>
        <w:t>due</w:t>
      </w:r>
      <w:r w:rsidRPr="00B71607">
        <w:t xml:space="preserve"> </w:t>
      </w:r>
      <w:r w:rsidRPr="00132626">
        <w:rPr>
          <w:i/>
        </w:rPr>
        <w:t>to</w:t>
      </w:r>
      <w:r w:rsidRPr="00B71607">
        <w:t xml:space="preserve"> </w:t>
      </w:r>
      <w:r>
        <w:t>investment</w:t>
      </w:r>
      <w:r w:rsidRPr="00B71607">
        <w:t xml:space="preserve"> </w:t>
      </w:r>
      <w:r>
        <w:t>(cf.</w:t>
      </w:r>
      <w:r w:rsidRPr="00B71607">
        <w:t xml:space="preserve"> </w:t>
      </w:r>
      <w:r>
        <w:t>Kalecki,</w:t>
      </w:r>
      <w:r w:rsidRPr="00B71607">
        <w:t xml:space="preserve"> </w:t>
      </w:r>
      <w:r>
        <w:t>1933)</w:t>
      </w:r>
      <w:r w:rsidRPr="00EE5A1C">
        <w:t>.</w:t>
      </w:r>
      <w:r w:rsidRPr="00B71607">
        <w:t xml:space="preserve"> </w:t>
      </w:r>
      <w:r w:rsidR="00E01F0F">
        <w:t>T</w:t>
      </w:r>
      <w:r w:rsidR="00A41371">
        <w:t xml:space="preserve">urn </w:t>
      </w:r>
      <w:r w:rsidR="00E01F0F">
        <w:t xml:space="preserve">now </w:t>
      </w:r>
      <w:r w:rsidR="00A41371">
        <w:t xml:space="preserve">to </w:t>
      </w:r>
      <w:r w:rsidR="00F87AB0">
        <w:t xml:space="preserve">the nature </w:t>
      </w:r>
      <w:r w:rsidR="00A41371">
        <w:t xml:space="preserve">of </w:t>
      </w:r>
      <w:r w:rsidR="00F87AB0">
        <w:t xml:space="preserve">this </w:t>
      </w:r>
      <w:r w:rsidR="00A41371">
        <w:t>instability.</w:t>
      </w:r>
    </w:p>
    <w:p w:rsidR="001B4F24" w:rsidRDefault="001B4F24" w:rsidP="001672CF">
      <w:pPr>
        <w:pStyle w:val="H4"/>
        <w:keepNext/>
      </w:pPr>
      <w:bookmarkStart w:id="21" w:name="_Ref413322038"/>
      <w:r w:rsidRPr="00EE5A1C">
        <w:t>The</w:t>
      </w:r>
      <w:r w:rsidRPr="00B71607">
        <w:t xml:space="preserve"> </w:t>
      </w:r>
      <w:r w:rsidRPr="00EE5A1C">
        <w:t>Knife</w:t>
      </w:r>
      <w:r w:rsidRPr="00B71607">
        <w:t xml:space="preserve"> </w:t>
      </w:r>
      <w:r w:rsidRPr="00EE5A1C">
        <w:t>Edge.</w:t>
      </w:r>
      <w:bookmarkEnd w:id="21"/>
      <w:r w:rsidRPr="00B71607">
        <w:t xml:space="preserve"> </w:t>
      </w:r>
    </w:p>
    <w:p w:rsidR="003B76FA" w:rsidRDefault="00082BE0" w:rsidP="00D438A1">
      <w:r>
        <w:rPr>
          <w:rFonts w:eastAsiaTheme="minorEastAsia"/>
          <w:szCs w:val="24"/>
        </w:rPr>
        <w:t>A</w:t>
      </w:r>
      <w:r w:rsidR="00D438A1">
        <w:rPr>
          <w:rFonts w:eastAsiaTheme="minorEastAsia"/>
          <w:szCs w:val="24"/>
        </w:rPr>
        <w:t xml:space="preserve">ll four of the simplifying </w:t>
      </w:r>
      <w:r w:rsidR="00D438A1">
        <w:t>assumptions</w:t>
      </w:r>
      <w:r w:rsidR="00D438A1" w:rsidRPr="00B71607">
        <w:t xml:space="preserve"> </w:t>
      </w:r>
      <w:r w:rsidR="00D438A1">
        <w:t>are likely to be broken</w:t>
      </w:r>
      <w:r w:rsidR="00F87AB0">
        <w:t xml:space="preserve"> in </w:t>
      </w:r>
      <w:r>
        <w:t>the</w:t>
      </w:r>
      <w:r w:rsidR="00F87AB0">
        <w:t xml:space="preserve"> real world</w:t>
      </w:r>
      <w:r>
        <w:t xml:space="preserve"> so that</w:t>
      </w:r>
      <w:r w:rsidR="00D438A1">
        <w:t xml:space="preserve"> </w:t>
      </w:r>
      <w:r w:rsidR="00D438A1">
        <w:rPr>
          <w:b/>
        </w:rPr>
        <w:t>g</w:t>
      </w:r>
      <w:r w:rsidR="00D438A1" w:rsidRPr="00B71607">
        <w:t xml:space="preserve"> </w:t>
      </w:r>
      <w:r w:rsidR="00D438A1" w:rsidRPr="00B51348">
        <w:t>≠</w:t>
      </w:r>
      <w:r w:rsidR="00D438A1" w:rsidRPr="00B71607">
        <w:t xml:space="preserve"> </w:t>
      </w:r>
      <w:proofErr w:type="spellStart"/>
      <w:r w:rsidR="00D438A1">
        <w:rPr>
          <w:b/>
        </w:rPr>
        <w:t>g</w:t>
      </w:r>
      <w:r w:rsidR="00D438A1">
        <w:rPr>
          <w:b/>
          <w:smallCaps/>
          <w:vertAlign w:val="subscript"/>
        </w:rPr>
        <w:t>w</w:t>
      </w:r>
      <w:proofErr w:type="spellEnd"/>
      <w:r w:rsidR="00D438A1">
        <w:t xml:space="preserve"> </w:t>
      </w:r>
      <w:r w:rsidR="00E01F0F">
        <w:t xml:space="preserve">should be seen </w:t>
      </w:r>
      <w:r w:rsidR="00D438A1">
        <w:t>the norm.</w:t>
      </w:r>
      <w:r>
        <w:t xml:space="preserve"> Here,</w:t>
      </w:r>
      <w:r w:rsidR="00D438A1">
        <w:t xml:space="preserve"> drop</w:t>
      </w:r>
      <w:r w:rsidR="00D438A1" w:rsidRPr="00B71607">
        <w:t xml:space="preserve"> </w:t>
      </w:r>
      <w:r w:rsidR="00AD7E58">
        <w:t xml:space="preserve">only </w:t>
      </w:r>
      <w:r w:rsidR="00D438A1">
        <w:t xml:space="preserve">the </w:t>
      </w:r>
      <w:r w:rsidRPr="002B6246">
        <w:rPr>
          <w:b/>
          <w:i/>
        </w:rPr>
        <w:t>y</w:t>
      </w:r>
      <w:r w:rsidRPr="00B71607">
        <w:t xml:space="preserve"> </w:t>
      </w:r>
      <w:r>
        <w:t>=</w:t>
      </w:r>
      <w:r w:rsidRPr="00B71607">
        <w:t xml:space="preserve"> </w:t>
      </w:r>
      <w:r>
        <w:t xml:space="preserve">1 </w:t>
      </w:r>
      <w:r w:rsidR="00D438A1">
        <w:t>assumption while maintaining the other</w:t>
      </w:r>
      <w:r>
        <w:t>s</w:t>
      </w:r>
      <w:r w:rsidR="00D438A1">
        <w:t>: th</w:t>
      </w:r>
      <w:r w:rsidR="000B71A4">
        <w:t>e emphasis on cases where the actual growth rate equals the warranted one</w:t>
      </w:r>
      <w:r w:rsidR="00D438A1">
        <w:t xml:space="preserve"> </w:t>
      </w:r>
      <w:r w:rsidR="00197991">
        <w:t>i</w:t>
      </w:r>
      <w:r w:rsidR="00197991">
        <w:t>m</w:t>
      </w:r>
      <w:r w:rsidR="00197991">
        <w:t>plies</w:t>
      </w:r>
      <w:r w:rsidR="00D438A1">
        <w:t xml:space="preserve"> a stark contrast between micro rationality and macro results while still </w:t>
      </w:r>
      <w:r w:rsidR="00E01F0F">
        <w:t xml:space="preserve">having </w:t>
      </w:r>
      <w:r w:rsidR="00D438A1">
        <w:t xml:space="preserve">KC </w:t>
      </w:r>
      <w:r w:rsidR="00D438A1">
        <w:lastRenderedPageBreak/>
        <w:t>equili</w:t>
      </w:r>
      <w:r w:rsidR="00D438A1">
        <w:t>b</w:t>
      </w:r>
      <w:r w:rsidR="00D438A1">
        <w:t>rium.</w:t>
      </w:r>
      <w:r w:rsidR="00052A60">
        <w:t xml:space="preserve"> </w:t>
      </w:r>
      <w:r>
        <w:t xml:space="preserve">Since </w:t>
      </w:r>
      <w:r w:rsidR="00E01F0F">
        <w:t xml:space="preserve">KC equilibrium requires </w:t>
      </w:r>
      <w:r w:rsidR="00F8608F">
        <w:rPr>
          <w:rFonts w:eastAsiaTheme="minorEastAsia"/>
          <w:bCs/>
        </w:rPr>
        <w:t>that</w:t>
      </w:r>
      <w:r w:rsidR="00F8608F">
        <w:t xml:space="preserve"> </w:t>
      </w:r>
      <w:r w:rsidR="00F8608F">
        <w:rPr>
          <w:rFonts w:eastAsiaTheme="minorEastAsia"/>
          <w:b/>
          <w:bCs/>
          <w:i/>
          <w:color w:val="000000"/>
        </w:rPr>
        <w:t>α</w:t>
      </w:r>
      <w:r w:rsidR="00F8608F">
        <w:rPr>
          <w:rFonts w:eastAsiaTheme="minorEastAsia"/>
          <w:b/>
          <w:bCs/>
          <w:smallCaps/>
          <w:vertAlign w:val="subscript"/>
        </w:rPr>
        <w:t>y</w:t>
      </w:r>
      <w:r w:rsidR="00F8608F">
        <w:t xml:space="preserve"> </w:t>
      </w:r>
      <w:r w:rsidR="00E01F0F">
        <w:t xml:space="preserve">equals the given value of </w:t>
      </w:r>
      <w:r w:rsidR="00F8608F">
        <w:rPr>
          <w:rFonts w:eastAsiaTheme="minorEastAsia"/>
          <w:b/>
          <w:bCs/>
          <w:i/>
        </w:rPr>
        <w:t>s</w:t>
      </w:r>
      <w:r>
        <w:rPr>
          <w:rFonts w:eastAsiaTheme="minorEastAsia"/>
          <w:bCs/>
        </w:rPr>
        <w:t>,</w:t>
      </w:r>
      <w:r w:rsidR="00F8608F">
        <w:rPr>
          <w:rFonts w:eastAsiaTheme="minorEastAsia"/>
          <w:bCs/>
        </w:rPr>
        <w:t xml:space="preserve"> ignore the former symbol</w:t>
      </w:r>
      <w:r>
        <w:rPr>
          <w:rFonts w:eastAsiaTheme="minorEastAsia"/>
          <w:bCs/>
        </w:rPr>
        <w:t xml:space="preserve"> from here on</w:t>
      </w:r>
      <w:r w:rsidR="00F8608F">
        <w:rPr>
          <w:rFonts w:eastAsiaTheme="minorEastAsia"/>
          <w:bCs/>
        </w:rPr>
        <w:t>.</w:t>
      </w:r>
    </w:p>
    <w:p w:rsidR="00052A60" w:rsidRDefault="007E6DAA" w:rsidP="00D438A1">
      <w:r w:rsidRPr="007E6DAA">
        <w:rPr>
          <w:b/>
        </w:rPr>
        <w:t>(a)</w:t>
      </w:r>
      <w:r>
        <w:t xml:space="preserve"> </w:t>
      </w:r>
      <w:r w:rsidR="00F8608F">
        <w:t xml:space="preserve">Our story centers on </w:t>
      </w:r>
      <w:r w:rsidR="00052A60">
        <w:t xml:space="preserve">the </w:t>
      </w:r>
      <w:r w:rsidR="00052A60">
        <w:rPr>
          <w:i/>
        </w:rPr>
        <w:t xml:space="preserve">actual </w:t>
      </w:r>
      <w:r w:rsidR="00052A60">
        <w:t>and warranted growth rates</w:t>
      </w:r>
      <w:r w:rsidR="005B64C5">
        <w:t>, from above</w:t>
      </w:r>
      <w:r w:rsidR="00052A60">
        <w:t>: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1"/>
        <w:gridCol w:w="8"/>
        <w:gridCol w:w="622"/>
      </w:tblGrid>
      <w:tr w:rsidR="00052A60" w:rsidTr="00052A60">
        <w:trPr>
          <w:jc w:val="center"/>
        </w:trPr>
        <w:tc>
          <w:tcPr>
            <w:tcW w:w="8371" w:type="dxa"/>
            <w:hideMark/>
          </w:tcPr>
          <w:p w:rsidR="00052A60" w:rsidRPr="00052A60" w:rsidRDefault="00052A60" w:rsidP="00EF5675">
            <w:pPr>
              <w:pStyle w:val="H3"/>
              <w:keepNext w:val="0"/>
              <w:numPr>
                <w:ilvl w:val="0"/>
                <w:numId w:val="0"/>
              </w:numPr>
              <w:ind w:left="144"/>
              <w:jc w:val="center"/>
            </w:pPr>
            <w:r w:rsidRPr="00B71607">
              <w:rPr>
                <w:b/>
              </w:rPr>
              <w:t>g</w:t>
            </w:r>
            <w:r w:rsidRPr="00B71607">
              <w:t xml:space="preserve"> =</w:t>
            </w:r>
            <w:r>
              <w:t xml:space="preserve"> </w:t>
            </w:r>
            <w:r w:rsidR="00CE4F70">
              <w:rPr>
                <w:b/>
                <w:bCs/>
                <w:i/>
              </w:rPr>
              <w:t>α</w:t>
            </w:r>
            <w:r>
              <w:rPr>
                <w:bCs/>
              </w:rPr>
              <w:t>/</w:t>
            </w:r>
            <w:proofErr w:type="spellStart"/>
            <w:r w:rsidRPr="00204ACF">
              <w:rPr>
                <w:b/>
                <w:bCs/>
                <w:i/>
              </w:rPr>
              <w:t>c</w:t>
            </w:r>
            <w:r>
              <w:rPr>
                <w:bCs/>
              </w:rPr>
              <w:t>·</w:t>
            </w:r>
            <w:r>
              <w:rPr>
                <w:b/>
                <w:bCs/>
                <w:i/>
              </w:rPr>
              <w:t>y</w:t>
            </w:r>
            <w:proofErr w:type="spellEnd"/>
          </w:p>
        </w:tc>
        <w:tc>
          <w:tcPr>
            <w:tcW w:w="630" w:type="dxa"/>
            <w:gridSpan w:val="2"/>
          </w:tcPr>
          <w:p w:rsidR="00052A60" w:rsidRPr="002D1EDD" w:rsidRDefault="00052A60" w:rsidP="00835E17">
            <w:pPr>
              <w:pStyle w:val="H4"/>
              <w:numPr>
                <w:ilvl w:val="0"/>
                <w:numId w:val="0"/>
              </w:numPr>
              <w:outlineLvl w:val="9"/>
            </w:pPr>
            <w:r>
              <w:fldChar w:fldCharType="begin"/>
            </w:r>
            <w:r>
              <w:instrText xml:space="preserve"> REF _Ref412901243 \h </w:instrText>
            </w:r>
            <w:r>
              <w:fldChar w:fldCharType="separate"/>
            </w:r>
            <w:r w:rsidR="00292438">
              <w:t>(</w:t>
            </w:r>
            <w:r w:rsidR="00292438">
              <w:rPr>
                <w:noProof/>
              </w:rPr>
              <w:t>5</w:t>
            </w:r>
            <w:r>
              <w:fldChar w:fldCharType="end"/>
            </w:r>
            <w:r>
              <w:t>’)</w:t>
            </w:r>
          </w:p>
        </w:tc>
      </w:tr>
      <w:tr w:rsidR="00052A60" w:rsidTr="00052A60">
        <w:trPr>
          <w:jc w:val="center"/>
        </w:trPr>
        <w:tc>
          <w:tcPr>
            <w:tcW w:w="8379" w:type="dxa"/>
            <w:gridSpan w:val="2"/>
          </w:tcPr>
          <w:p w:rsidR="00052A60" w:rsidRPr="00E14428" w:rsidRDefault="00052A60" w:rsidP="00835E17">
            <w:pPr>
              <w:pStyle w:val="H4"/>
              <w:numPr>
                <w:ilvl w:val="0"/>
                <w:numId w:val="0"/>
              </w:numPr>
              <w:jc w:val="center"/>
              <w:outlineLvl w:val="9"/>
              <w:rPr>
                <w:i/>
              </w:rPr>
            </w:pPr>
            <w:proofErr w:type="spellStart"/>
            <w:r w:rsidRPr="00DD0398">
              <w:rPr>
                <w:b/>
              </w:rPr>
              <w:t>g</w:t>
            </w:r>
            <w:r w:rsidRPr="00DD0398">
              <w:rPr>
                <w:b/>
                <w:smallCaps/>
                <w:vertAlign w:val="subscript"/>
              </w:rPr>
              <w:t>w</w:t>
            </w:r>
            <w:proofErr w:type="spellEnd"/>
            <w:r w:rsidRPr="00B71607">
              <w:t xml:space="preserve"> </w:t>
            </w:r>
            <w:r w:rsidRPr="00E14428">
              <w:t>=</w:t>
            </w:r>
            <w:r w:rsidRPr="00B71607">
              <w:t xml:space="preserve"> </w:t>
            </w:r>
            <w:r w:rsidRPr="00DD0398">
              <w:rPr>
                <w:b/>
                <w:i/>
              </w:rPr>
              <w:t>s</w:t>
            </w:r>
            <w:r w:rsidRPr="00E14428">
              <w:t>/</w:t>
            </w:r>
            <w:r w:rsidRPr="00DD0398">
              <w:rPr>
                <w:b/>
                <w:i/>
              </w:rPr>
              <w:t>c</w:t>
            </w:r>
          </w:p>
        </w:tc>
        <w:tc>
          <w:tcPr>
            <w:tcW w:w="622" w:type="dxa"/>
          </w:tcPr>
          <w:p w:rsidR="00052A60" w:rsidRDefault="00052A60" w:rsidP="00835E17">
            <w:pPr>
              <w:pStyle w:val="H4"/>
              <w:numPr>
                <w:ilvl w:val="0"/>
                <w:numId w:val="0"/>
              </w:numPr>
              <w:jc w:val="center"/>
              <w:outlineLvl w:val="9"/>
            </w:pPr>
            <w:r>
              <w:fldChar w:fldCharType="begin"/>
            </w:r>
            <w:r>
              <w:instrText xml:space="preserve"> REF _Ref412970672 \h </w:instrText>
            </w:r>
            <w:r>
              <w:fldChar w:fldCharType="separate"/>
            </w:r>
            <w:r w:rsidR="00292438">
              <w:t>(</w:t>
            </w:r>
            <w:r w:rsidR="00292438">
              <w:rPr>
                <w:noProof/>
              </w:rPr>
              <w:t>2</w:t>
            </w:r>
            <w:r>
              <w:fldChar w:fldCharType="end"/>
            </w:r>
            <w:r>
              <w:t>)</w:t>
            </w:r>
          </w:p>
        </w:tc>
      </w:tr>
    </w:tbl>
    <w:p w:rsidR="000E10E0" w:rsidRDefault="00404157" w:rsidP="00AD0F75">
      <w:r>
        <w:t xml:space="preserve">If </w:t>
      </w:r>
      <w:r>
        <w:rPr>
          <w:b/>
        </w:rPr>
        <w:t>g</w:t>
      </w:r>
      <w:r>
        <w:t xml:space="preserve"> =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w</w:t>
      </w:r>
      <w:proofErr w:type="spellEnd"/>
      <w:r w:rsidR="00FD335A">
        <w:rPr>
          <w:rFonts w:eastAsiaTheme="minorEastAsia"/>
          <w:bCs/>
        </w:rPr>
        <w:t xml:space="preserve">, </w:t>
      </w:r>
      <w:r>
        <w:t xml:space="preserve">the actual economy </w:t>
      </w:r>
      <w:r w:rsidR="00F87AB0">
        <w:t xml:space="preserve">has a growth rate equal to the </w:t>
      </w:r>
      <w:r>
        <w:t>warranted</w:t>
      </w:r>
      <w:r w:rsidR="00F87AB0">
        <w:t xml:space="preserve"> one</w:t>
      </w:r>
      <w:r w:rsidR="004A5117">
        <w:t xml:space="preserve">, in what might be called </w:t>
      </w:r>
      <w:r w:rsidR="0093225D">
        <w:t>the HMR equilibrium</w:t>
      </w:r>
      <w:r>
        <w:t>.</w:t>
      </w:r>
      <w:r w:rsidR="004A5117">
        <w:t xml:space="preserve"> Put a different way</w:t>
      </w:r>
      <w:r w:rsidR="00197991">
        <w:t xml:space="preserve">, </w:t>
      </w:r>
      <w:r w:rsidR="005B64C5">
        <w:t xml:space="preserve">for the </w:t>
      </w:r>
      <w:r w:rsidR="000E10E0">
        <w:t xml:space="preserve">actual growth rate to equal the </w:t>
      </w:r>
      <w:r w:rsidR="005B64C5">
        <w:t>warranted rate</w:t>
      </w:r>
      <w:r w:rsidR="000E10E0">
        <w:t>, the fo</w:t>
      </w:r>
      <w:r w:rsidR="000E10E0">
        <w:t>l</w:t>
      </w:r>
      <w:r w:rsidR="000E10E0">
        <w:t>lowing condition must be met:</w:t>
      </w:r>
      <w:r w:rsidR="005B64C5">
        <w:t xml:space="preserve"> 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9"/>
        <w:gridCol w:w="622"/>
      </w:tblGrid>
      <w:tr w:rsidR="000E10E0" w:rsidTr="007039A6">
        <w:trPr>
          <w:jc w:val="center"/>
        </w:trPr>
        <w:tc>
          <w:tcPr>
            <w:tcW w:w="8379" w:type="dxa"/>
          </w:tcPr>
          <w:p w:rsidR="000E10E0" w:rsidRPr="000E10E0" w:rsidRDefault="004F025D" w:rsidP="004F025D">
            <w:pPr>
              <w:pStyle w:val="H4"/>
              <w:numPr>
                <w:ilvl w:val="0"/>
                <w:numId w:val="0"/>
              </w:numPr>
              <w:jc w:val="center"/>
              <w:outlineLvl w:val="9"/>
              <w:rPr>
                <w:b/>
                <w:i/>
              </w:rPr>
            </w:pPr>
            <w:r>
              <w:rPr>
                <w:rFonts w:eastAsiaTheme="minorEastAsia"/>
                <w:bCs/>
              </w:rPr>
              <w:t>if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  <w:color w:val="FFFFFF" w:themeColor="background1"/>
              </w:rPr>
              <w:t>_</w:t>
            </w:r>
            <w:r>
              <w:rPr>
                <w:rFonts w:eastAsiaTheme="minorEastAsia"/>
                <w:bCs/>
              </w:rPr>
              <w:t xml:space="preserve"> </w:t>
            </w:r>
            <w:r w:rsidRPr="000E10E0">
              <w:rPr>
                <w:rFonts w:eastAsiaTheme="minorEastAsia"/>
                <w:b/>
                <w:bCs/>
                <w:i/>
              </w:rPr>
              <w:t>α</w:t>
            </w:r>
            <w:r>
              <w:rPr>
                <w:rFonts w:eastAsiaTheme="minorEastAsia"/>
                <w:bCs/>
              </w:rPr>
              <w:t xml:space="preserve"> = </w:t>
            </w:r>
            <w:proofErr w:type="spellStart"/>
            <w:r w:rsidRPr="000E10E0">
              <w:rPr>
                <w:rFonts w:eastAsiaTheme="minorEastAsia"/>
                <w:b/>
                <w:bCs/>
                <w:i/>
              </w:rPr>
              <w:t>s</w:t>
            </w:r>
            <w:r>
              <w:rPr>
                <w:rFonts w:eastAsiaTheme="minorEastAsia"/>
                <w:bCs/>
              </w:rPr>
              <w:t>·</w:t>
            </w:r>
            <w:r>
              <w:rPr>
                <w:rFonts w:eastAsiaTheme="minorEastAsia"/>
                <w:b/>
                <w:bCs/>
                <w:i/>
              </w:rPr>
              <w:t>y</w:t>
            </w:r>
            <w:proofErr w:type="spellEnd"/>
            <w:r>
              <w:rPr>
                <w:rFonts w:eastAsiaTheme="minorEastAsia"/>
                <w:b/>
                <w:bCs/>
                <w:i/>
              </w:rPr>
              <w:t xml:space="preserve"> </w:t>
            </w:r>
            <w:r>
              <w:rPr>
                <w:rFonts w:eastAsiaTheme="minorEastAsia"/>
                <w:bCs/>
                <w:color w:val="FFFFFF" w:themeColor="background1"/>
              </w:rPr>
              <w:t>_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then</w:t>
            </w:r>
            <w:r w:rsidR="0073428F"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  <w:color w:val="FFFFFF" w:themeColor="background1"/>
              </w:rPr>
              <w:t>_</w:t>
            </w:r>
            <w:r>
              <w:rPr>
                <w:rFonts w:eastAsiaTheme="minorEastAsia"/>
                <w:bCs/>
              </w:rPr>
              <w:t xml:space="preserve"> </w:t>
            </w:r>
            <w:r w:rsidR="0073428F">
              <w:rPr>
                <w:rFonts w:eastAsiaTheme="minorEastAsia"/>
                <w:b/>
                <w:bCs/>
              </w:rPr>
              <w:t>g</w:t>
            </w:r>
            <w:r w:rsidR="0073428F">
              <w:rPr>
                <w:rFonts w:eastAsiaTheme="minorEastAsia"/>
                <w:bCs/>
              </w:rPr>
              <w:t xml:space="preserve"> = </w:t>
            </w:r>
            <w:proofErr w:type="spellStart"/>
            <w:r w:rsidR="0073428F">
              <w:rPr>
                <w:rFonts w:eastAsiaTheme="minorEastAsia"/>
                <w:b/>
                <w:bCs/>
              </w:rPr>
              <w:t>g</w:t>
            </w:r>
            <w:r w:rsidR="0073428F">
              <w:rPr>
                <w:rFonts w:eastAsiaTheme="minorEastAsia"/>
                <w:b/>
                <w:bCs/>
                <w:smallCaps/>
                <w:vertAlign w:val="subscript"/>
              </w:rPr>
              <w:t>w</w:t>
            </w:r>
            <w:proofErr w:type="spellEnd"/>
          </w:p>
        </w:tc>
        <w:tc>
          <w:tcPr>
            <w:tcW w:w="622" w:type="dxa"/>
          </w:tcPr>
          <w:p w:rsidR="000E10E0" w:rsidRDefault="000E10E0" w:rsidP="007039A6">
            <w:pPr>
              <w:pStyle w:val="H4"/>
              <w:numPr>
                <w:ilvl w:val="0"/>
                <w:numId w:val="0"/>
              </w:numPr>
              <w:jc w:val="center"/>
              <w:outlineLvl w:val="9"/>
            </w:pPr>
            <w:bookmarkStart w:id="22" w:name="_Ref414456022"/>
            <w:bookmarkStart w:id="23" w:name="_Ref414380441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7</w:t>
            </w:r>
            <w:r w:rsidR="00321870">
              <w:rPr>
                <w:noProof/>
              </w:rPr>
              <w:fldChar w:fldCharType="end"/>
            </w:r>
            <w:bookmarkEnd w:id="22"/>
            <w:r>
              <w:t>)</w:t>
            </w:r>
            <w:bookmarkEnd w:id="23"/>
          </w:p>
        </w:tc>
      </w:tr>
    </w:tbl>
    <w:p w:rsidR="004F025D" w:rsidRDefault="005B64C5" w:rsidP="00AD0F75">
      <w:r>
        <w:t>The latter</w:t>
      </w:r>
      <w:r w:rsidR="00197991">
        <w:t xml:space="preserve"> </w:t>
      </w:r>
      <w:r w:rsidR="00AD0F75">
        <w:t xml:space="preserve">formulation, unlike </w:t>
      </w:r>
      <w:r w:rsidR="00AD0F75" w:rsidRPr="00D4213A">
        <w:rPr>
          <w:noProof/>
        </w:rPr>
        <w:t>Harrod</w:t>
      </w:r>
      <w:r>
        <w:rPr>
          <w:noProof/>
        </w:rPr>
        <w:t>’s original one</w:t>
      </w:r>
      <w:r w:rsidR="00AD0F75">
        <w:t xml:space="preserve">, </w:t>
      </w:r>
      <w:r w:rsidR="004F025D">
        <w:t xml:space="preserve">says </w:t>
      </w:r>
      <w:r w:rsidR="00197991">
        <w:t xml:space="preserve">that </w:t>
      </w:r>
      <w:r w:rsidR="004F025D">
        <w:t xml:space="preserve">the parameter </w:t>
      </w:r>
      <w:r w:rsidR="004F025D">
        <w:rPr>
          <w:b/>
          <w:i/>
        </w:rPr>
        <w:t>c</w:t>
      </w:r>
      <w:r w:rsidR="004F025D">
        <w:t xml:space="preserve"> plays no </w:t>
      </w:r>
      <w:r w:rsidR="00AD0F75">
        <w:t xml:space="preserve">mathematical role of in causing the two growth rates </w:t>
      </w:r>
      <w:r w:rsidR="004A5117">
        <w:t>to differ</w:t>
      </w:r>
      <w:r w:rsidR="00AD0F75">
        <w:t>.</w:t>
      </w:r>
      <w:r w:rsidR="005101AD">
        <w:rPr>
          <w:rStyle w:val="EndnoteReference"/>
        </w:rPr>
        <w:endnoteReference w:id="24"/>
      </w:r>
      <w:r>
        <w:t xml:space="preserve"> This is ironic:</w:t>
      </w:r>
      <w:r w:rsidR="00AD0F75">
        <w:t xml:space="preserve"> the key var</w:t>
      </w:r>
      <w:r w:rsidR="00AD0F75">
        <w:t>i</w:t>
      </w:r>
      <w:r w:rsidR="00AD0F75">
        <w:t xml:space="preserve">able that Solow saw as allowing for equality of the warranted and “natural” growth rates (see </w:t>
      </w:r>
      <w:r w:rsidR="00AD0F75" w:rsidRPr="00D44191">
        <w:t>§</w:t>
      </w:r>
      <w:r w:rsidR="00AD0F75">
        <w:t xml:space="preserve">III.B.2) </w:t>
      </w:r>
      <w:r w:rsidR="00393A26">
        <w:t xml:space="preserve">turns out to be </w:t>
      </w:r>
      <w:r w:rsidR="00AD0F75">
        <w:t>unnecessary to the analysis</w:t>
      </w:r>
      <w:r>
        <w:t xml:space="preserve"> of Harrod’s knife edge</w:t>
      </w:r>
      <w:r w:rsidR="00AD0F75">
        <w:t xml:space="preserve">. This </w:t>
      </w:r>
      <w:r w:rsidR="00AE230E">
        <w:t xml:space="preserve">irony arises </w:t>
      </w:r>
      <w:r w:rsidR="00AD0F75">
        <w:t>because Harrod and Solow were addressing significantly different que</w:t>
      </w:r>
      <w:r w:rsidR="00AD0F75">
        <w:t>s</w:t>
      </w:r>
      <w:r w:rsidR="00AD0F75">
        <w:t>tions.</w:t>
      </w:r>
    </w:p>
    <w:p w:rsidR="00AD0F75" w:rsidRDefault="004F025D" w:rsidP="00AD0F75">
      <w:r>
        <w:t xml:space="preserve">Note also that condition </w:t>
      </w:r>
      <w:r>
        <w:fldChar w:fldCharType="begin"/>
      </w:r>
      <w:r>
        <w:instrText xml:space="preserve"> REF _Ref414380441 \h </w:instrText>
      </w:r>
      <w:r>
        <w:fldChar w:fldCharType="separate"/>
      </w:r>
      <w:r w:rsidR="00292438">
        <w:t>(</w:t>
      </w:r>
      <w:r w:rsidR="00292438">
        <w:rPr>
          <w:noProof/>
        </w:rPr>
        <w:t>7</w:t>
      </w:r>
      <w:r w:rsidR="00292438">
        <w:t>)</w:t>
      </w:r>
      <w:r>
        <w:fldChar w:fldCharType="end"/>
      </w:r>
      <w:r>
        <w:t xml:space="preserve"> does not ensure </w:t>
      </w:r>
      <w:r w:rsidR="00836BE4">
        <w:t xml:space="preserve">equilibrium </w:t>
      </w:r>
      <w:r w:rsidR="00862F91">
        <w:t>or that the growth will persist</w:t>
      </w:r>
      <w:r>
        <w:t>.</w:t>
      </w:r>
      <w:r w:rsidR="00862F91">
        <w:t xml:space="preserve"> </w:t>
      </w:r>
      <w:r w:rsidR="00836BE4">
        <w:t xml:space="preserve">As discussed above, having </w:t>
      </w:r>
      <w:r w:rsidR="00836BE4">
        <w:rPr>
          <w:b/>
          <w:i/>
        </w:rPr>
        <w:t>y</w:t>
      </w:r>
      <w:r w:rsidR="00836BE4">
        <w:t xml:space="preserve"> = 1 is </w:t>
      </w:r>
      <w:r w:rsidR="00BE2224">
        <w:t xml:space="preserve">also </w:t>
      </w:r>
      <w:r w:rsidR="00836BE4">
        <w:t xml:space="preserve">necessary. </w:t>
      </w:r>
      <w:r>
        <w:t>Turn to this i</w:t>
      </w:r>
      <w:r>
        <w:t>s</w:t>
      </w:r>
      <w:r>
        <w:t xml:space="preserve">sue next. </w:t>
      </w:r>
    </w:p>
    <w:p w:rsidR="00BE2224" w:rsidRDefault="007E6DAA" w:rsidP="00D438A1">
      <w:r>
        <w:rPr>
          <w:b/>
        </w:rPr>
        <w:t>(b)</w:t>
      </w:r>
      <w:r w:rsidR="003B76FA">
        <w:rPr>
          <w:b/>
        </w:rPr>
        <w:t xml:space="preserve"> </w:t>
      </w:r>
      <w:r w:rsidR="00AD7E58">
        <w:t xml:space="preserve">Just as </w:t>
      </w:r>
      <w:r w:rsidR="00D438A1">
        <w:t xml:space="preserve">important </w:t>
      </w:r>
      <w:r w:rsidR="00AD7E58">
        <w:t xml:space="preserve">as </w:t>
      </w:r>
      <w:r w:rsidR="00D438A1">
        <w:t xml:space="preserve">the possible deviation between </w:t>
      </w:r>
      <w:r w:rsidR="00D438A1">
        <w:rPr>
          <w:b/>
        </w:rPr>
        <w:t>g</w:t>
      </w:r>
      <w:r w:rsidR="00D438A1">
        <w:t xml:space="preserve"> and </w:t>
      </w:r>
      <w:proofErr w:type="spellStart"/>
      <w:r w:rsidR="00D438A1">
        <w:rPr>
          <w:b/>
        </w:rPr>
        <w:t>g</w:t>
      </w:r>
      <w:r w:rsidR="00D438A1">
        <w:rPr>
          <w:b/>
          <w:smallCaps/>
          <w:vertAlign w:val="subscript"/>
        </w:rPr>
        <w:t>w</w:t>
      </w:r>
      <w:proofErr w:type="spellEnd"/>
      <w:r w:rsidR="00D438A1">
        <w:t xml:space="preserve"> is the </w:t>
      </w:r>
      <w:r w:rsidR="00571D5B">
        <w:t xml:space="preserve">economy’s </w:t>
      </w:r>
      <w:r w:rsidR="00D438A1">
        <w:t>reaction to</w:t>
      </w:r>
      <w:r w:rsidR="00571D5B">
        <w:t xml:space="preserve"> it</w:t>
      </w:r>
      <w:r w:rsidR="00D438A1">
        <w:t xml:space="preserve">. </w:t>
      </w:r>
      <w:r w:rsidR="00796B05">
        <w:t xml:space="preserve">Does the economy move back into warranted growth (as </w:t>
      </w:r>
      <w:r w:rsidR="00DE3C09">
        <w:t xml:space="preserve">in </w:t>
      </w:r>
      <w:r w:rsidR="00796B05">
        <w:t>NC models) or is the equ</w:t>
      </w:r>
      <w:r w:rsidR="00796B05">
        <w:t>i</w:t>
      </w:r>
      <w:r w:rsidR="00796B05">
        <w:t xml:space="preserve">librium unstable (as for Harrod)? </w:t>
      </w:r>
    </w:p>
    <w:p w:rsidR="00D438A1" w:rsidRPr="005A76DE" w:rsidRDefault="00BE2224" w:rsidP="00D438A1">
      <w:r>
        <w:t xml:space="preserve">As noted in </w:t>
      </w:r>
      <w:r w:rsidRPr="00220D2F">
        <w:t>§</w:t>
      </w:r>
      <w:r>
        <w:t xml:space="preserve"> </w:t>
      </w:r>
      <w:r>
        <w:fldChar w:fldCharType="begin"/>
      </w:r>
      <w:r>
        <w:instrText xml:space="preserve"> REF _Ref414381876 \w \h </w:instrText>
      </w:r>
      <w:r>
        <w:fldChar w:fldCharType="separate"/>
      </w:r>
      <w:r w:rsidR="00292438">
        <w:t>I.A</w:t>
      </w:r>
      <w:r>
        <w:fldChar w:fldCharType="end"/>
      </w:r>
      <w:r>
        <w:t xml:space="preserve">, the answer depends on Keynesian quantity adjustment. This focuses on </w:t>
      </w:r>
      <w:r w:rsidR="00D438A1">
        <w:t>the implications of the investment function</w:t>
      </w:r>
      <w:r w:rsidR="00DE7195">
        <w:t xml:space="preserve"> (</w:t>
      </w:r>
      <w:r w:rsidR="0073428F">
        <w:t>equation</w:t>
      </w:r>
      <w:r w:rsidR="00D438A1">
        <w:t xml:space="preserve"> </w:t>
      </w:r>
      <w:r w:rsidR="00D438A1">
        <w:fldChar w:fldCharType="begin"/>
      </w:r>
      <w:r w:rsidR="00D438A1">
        <w:instrText xml:space="preserve"> REF _Ref408155558 \h </w:instrText>
      </w:r>
      <w:r w:rsidR="00D438A1">
        <w:fldChar w:fldCharType="separate"/>
      </w:r>
      <w:r w:rsidR="00292438">
        <w:t>(</w:t>
      </w:r>
      <w:r w:rsidR="00292438">
        <w:rPr>
          <w:noProof/>
        </w:rPr>
        <w:t>4</w:t>
      </w:r>
      <w:r w:rsidR="00292438">
        <w:t>)</w:t>
      </w:r>
      <w:r w:rsidR="00D438A1">
        <w:fldChar w:fldCharType="end"/>
      </w:r>
      <w:r w:rsidR="00DE7195">
        <w:t>)</w:t>
      </w:r>
      <w:r w:rsidR="00D438A1">
        <w:t xml:space="preserve">. </w:t>
      </w:r>
      <w:r>
        <w:t xml:space="preserve">To draw these out, first </w:t>
      </w:r>
      <w:r w:rsidR="003B74C6">
        <w:t xml:space="preserve">that </w:t>
      </w:r>
      <w:r w:rsidR="00D438A1">
        <w:rPr>
          <w:rFonts w:eastAsiaTheme="minorEastAsia"/>
        </w:rPr>
        <w:t>the</w:t>
      </w:r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expected</w:t>
      </w:r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rate</w:t>
      </w:r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of</w:t>
      </w:r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capacity</w:t>
      </w:r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utiliz</w:t>
      </w:r>
      <w:r w:rsidR="00D438A1">
        <w:rPr>
          <w:rFonts w:eastAsiaTheme="minorEastAsia"/>
        </w:rPr>
        <w:t>a</w:t>
      </w:r>
      <w:r w:rsidR="00D438A1">
        <w:rPr>
          <w:rFonts w:eastAsiaTheme="minorEastAsia"/>
        </w:rPr>
        <w:t>tion</w:t>
      </w:r>
      <w:r w:rsidR="003B74C6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3B74C6">
        <w:rPr>
          <w:rFonts w:eastAsiaTheme="minorEastAsia"/>
        </w:rPr>
        <w:t>)</w:t>
      </w:r>
      <w:r w:rsidR="0073428F">
        <w:rPr>
          <w:rFonts w:eastAsiaTheme="minorEastAsia"/>
        </w:rPr>
        <w:t xml:space="preserve"> </w:t>
      </w:r>
      <w:r w:rsidR="003B74C6">
        <w:rPr>
          <w:rFonts w:eastAsiaTheme="minorEastAsia"/>
        </w:rPr>
        <w:t xml:space="preserve">equals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D438A1">
        <w:rPr>
          <w:rFonts w:eastAsiaTheme="minorEastAsia"/>
        </w:rPr>
        <w:t>/</w:t>
      </w:r>
      <w:r w:rsidR="00D438A1">
        <w:rPr>
          <w:rFonts w:eastAsiaTheme="minorEastAsia"/>
          <w:b/>
        </w:rPr>
        <w:t>Z</w:t>
      </w:r>
      <w:r w:rsidR="00D438A1">
        <w:rPr>
          <w:rFonts w:eastAsiaTheme="minorEastAsia"/>
        </w:rPr>
        <w:t xml:space="preserve">. With </w:t>
      </w:r>
      <w:r w:rsidR="00D438A1">
        <w:rPr>
          <w:rFonts w:eastAsiaTheme="minorEastAsia"/>
          <w:b/>
        </w:rPr>
        <w:t>K</w:t>
      </w:r>
      <w:r w:rsidR="00D438A1">
        <w:rPr>
          <w:rFonts w:eastAsiaTheme="minorEastAsia"/>
          <w:b/>
          <w:smallCaps/>
          <w:vertAlign w:val="subscript"/>
        </w:rPr>
        <w:t>–1</w:t>
      </w:r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=</w:t>
      </w:r>
      <w:r w:rsidR="00D438A1" w:rsidRPr="00B71607">
        <w:rPr>
          <w:rFonts w:eastAsiaTheme="minorEastAsia"/>
        </w:rPr>
        <w:t xml:space="preserve"> </w:t>
      </w:r>
      <w:proofErr w:type="spellStart"/>
      <w:r w:rsidR="00D438A1">
        <w:rPr>
          <w:rFonts w:eastAsiaTheme="minorEastAsia"/>
          <w:b/>
          <w:i/>
        </w:rPr>
        <w:t>c</w:t>
      </w:r>
      <w:r w:rsidR="00D438A1" w:rsidRPr="00207C49">
        <w:rPr>
          <w:rFonts w:eastAsiaTheme="minorEastAsia"/>
        </w:rPr>
        <w:t>·</w:t>
      </w:r>
      <w:r w:rsidR="00D438A1">
        <w:rPr>
          <w:rFonts w:eastAsiaTheme="minorEastAsia"/>
          <w:b/>
        </w:rPr>
        <w:t>Z</w:t>
      </w:r>
      <w:proofErr w:type="spellEnd"/>
      <w:r w:rsidR="00D438A1">
        <w:rPr>
          <w:rFonts w:eastAsiaTheme="minorEastAsia"/>
          <w:b/>
          <w:smallCaps/>
          <w:vertAlign w:val="subscript"/>
        </w:rPr>
        <w:t>–1</w:t>
      </w:r>
      <w:r w:rsidR="00D438A1">
        <w:rPr>
          <w:rFonts w:eastAsiaTheme="minorEastAsia"/>
        </w:rPr>
        <w:t xml:space="preserve">, we get: </w:t>
      </w:r>
    </w:p>
    <w:tbl>
      <w:tblPr>
        <w:tblStyle w:val="TableGrid"/>
        <w:tblW w:w="8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682"/>
      </w:tblGrid>
      <w:tr w:rsidR="00D438A1" w:rsidTr="00835E17">
        <w:trPr>
          <w:jc w:val="center"/>
        </w:trPr>
        <w:tc>
          <w:tcPr>
            <w:tcW w:w="8234" w:type="dxa"/>
            <w:hideMark/>
          </w:tcPr>
          <w:p w:rsidR="00D438A1" w:rsidRPr="005A76DE" w:rsidRDefault="00CE4F70" w:rsidP="003B74C6">
            <w:pPr>
              <w:pStyle w:val="H3"/>
              <w:keepNext w:val="0"/>
              <w:numPr>
                <w:ilvl w:val="0"/>
                <w:numId w:val="0"/>
              </w:numPr>
              <w:ind w:left="144"/>
              <w:jc w:val="center"/>
            </w:pPr>
            <w:r>
              <w:rPr>
                <w:rFonts w:eastAsiaTheme="minorEastAsia"/>
                <w:b/>
                <w:bCs/>
                <w:i/>
              </w:rPr>
              <w:t>α</w:t>
            </w:r>
            <w:r w:rsidR="00954AC8">
              <w:rPr>
                <w:rFonts w:eastAsiaTheme="minorEastAsia"/>
                <w:bCs/>
              </w:rPr>
              <w:t xml:space="preserve"> = </w:t>
            </w:r>
            <w:r w:rsidR="00D438A1" w:rsidRPr="005A76DE">
              <w:rPr>
                <w:b/>
              </w:rPr>
              <w:t>I</w:t>
            </w:r>
            <w:r w:rsidR="00954AC8">
              <w:t>/</w:t>
            </w:r>
            <w:r w:rsidR="00954AC8">
              <w:rPr>
                <w:b/>
              </w:rPr>
              <w:t>Z</w:t>
            </w:r>
            <w:r w:rsidR="00D438A1" w:rsidRPr="005A76DE">
              <w:t xml:space="preserve"> = </w:t>
            </w:r>
            <w:proofErr w:type="spellStart"/>
            <w:r w:rsidR="00D438A1" w:rsidRPr="005A76DE">
              <w:rPr>
                <w:b/>
                <w:i/>
              </w:rPr>
              <w:t>θ</w:t>
            </w:r>
            <w:r w:rsidR="00D438A1" w:rsidRPr="005A76DE">
              <w:t>·</w:t>
            </w:r>
            <w:r w:rsidR="00D438A1">
              <w:rPr>
                <w:b/>
                <w:i/>
              </w:rPr>
              <w:t>c</w:t>
            </w:r>
            <w:proofErr w:type="spellEnd"/>
            <w:r w:rsidR="00D438A1">
              <w:t>·</w:t>
            </w:r>
            <w:r w:rsidR="00D438A1" w:rsidRPr="005A76DE">
              <w:t>[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acc>
            </m:oMath>
            <w:r w:rsidR="00D438A1" w:rsidRPr="005A76DE">
              <w:rPr>
                <w:sz w:val="20"/>
              </w:rPr>
              <w:t xml:space="preserve"> – </w:t>
            </w:r>
            <w:r w:rsidR="00D438A1" w:rsidRPr="005A76DE">
              <w:rPr>
                <w:rFonts w:eastAsiaTheme="minorEastAsia" w:cstheme="minorBidi"/>
                <w:b/>
                <w:szCs w:val="22"/>
              </w:rPr>
              <w:t>Z</w:t>
            </w:r>
            <w:r w:rsidR="00D438A1" w:rsidRPr="005A76DE">
              <w:rPr>
                <w:b/>
                <w:smallCaps/>
                <w:vertAlign w:val="subscript"/>
              </w:rPr>
              <w:t>–1</w:t>
            </w:r>
            <w:r w:rsidR="00D438A1">
              <w:t>/</w:t>
            </w:r>
            <w:r w:rsidR="00D438A1" w:rsidRPr="00954AC8">
              <w:rPr>
                <w:b/>
              </w:rPr>
              <w:t>Z</w:t>
            </w:r>
            <w:r w:rsidR="00D438A1" w:rsidRPr="005A76DE">
              <w:t>]</w:t>
            </w:r>
            <w:r w:rsidR="00D438A1">
              <w:t xml:space="preserve"> </w:t>
            </w:r>
          </w:p>
        </w:tc>
        <w:tc>
          <w:tcPr>
            <w:tcW w:w="682" w:type="dxa"/>
          </w:tcPr>
          <w:p w:rsidR="00D438A1" w:rsidRPr="002D1EDD" w:rsidRDefault="00D438A1" w:rsidP="00835E17">
            <w:pPr>
              <w:pStyle w:val="H4"/>
              <w:numPr>
                <w:ilvl w:val="0"/>
                <w:numId w:val="0"/>
              </w:numPr>
              <w:outlineLvl w:val="9"/>
            </w:pPr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8</w:t>
            </w:r>
            <w:r w:rsidR="00321870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D438A1" w:rsidRPr="00540BEC" w:rsidRDefault="00D438A1" w:rsidP="00D438A1">
      <w:r>
        <w:t>For</w:t>
      </w:r>
      <w:r w:rsidRPr="00B71607">
        <w:t xml:space="preserve"> </w:t>
      </w:r>
      <w:r>
        <w:t>a</w:t>
      </w:r>
      <w:r w:rsidRPr="00B71607">
        <w:t xml:space="preserve"> </w:t>
      </w:r>
      <w:r>
        <w:t>given</w:t>
      </w:r>
      <w:r w:rsidRPr="00B71607">
        <w:t xml:space="preserve"> </w:t>
      </w:r>
      <w:r>
        <w:t>growth</w:t>
      </w:r>
      <w:r w:rsidRPr="00B71607">
        <w:t xml:space="preserve"> </w:t>
      </w:r>
      <w:r>
        <w:t>rate</w:t>
      </w:r>
      <w:r w:rsidRPr="00B71607">
        <w:t xml:space="preserve"> </w:t>
      </w:r>
      <w:r>
        <w:t>of</w:t>
      </w:r>
      <w:r w:rsidRPr="00B71607">
        <w:t xml:space="preserve"> </w:t>
      </w:r>
      <w:r>
        <w:t>full-capacity</w:t>
      </w:r>
      <w:r w:rsidRPr="00B71607">
        <w:t xml:space="preserve"> </w:t>
      </w:r>
      <w:r>
        <w:t>output (</w:t>
      </w:r>
      <w:proofErr w:type="spellStart"/>
      <w:r w:rsidR="00954AC8">
        <w:rPr>
          <w:b/>
        </w:rPr>
        <w:t>g</w:t>
      </w:r>
      <w:r w:rsidR="00954AC8">
        <w:rPr>
          <w:b/>
          <w:smallCaps/>
          <w:vertAlign w:val="subscript"/>
        </w:rPr>
        <w:t>z</w:t>
      </w:r>
      <w:proofErr w:type="spellEnd"/>
      <w:r>
        <w:t>),</w:t>
      </w:r>
      <w:r w:rsidRPr="00B71607">
        <w:t xml:space="preserve"> </w:t>
      </w:r>
      <w:r w:rsidR="00954AC8">
        <w:rPr>
          <w:b/>
        </w:rPr>
        <w:t xml:space="preserve">Z </w:t>
      </w:r>
      <w:r>
        <w:rPr>
          <w:color w:val="000000"/>
        </w:rPr>
        <w:t>=</w:t>
      </w:r>
      <w:r w:rsidRPr="00B71607">
        <w:rPr>
          <w:color w:val="000000"/>
        </w:rPr>
        <w:t xml:space="preserve"> </w:t>
      </w:r>
      <w:r>
        <w:rPr>
          <w:color w:val="000000"/>
        </w:rPr>
        <w:t>(1</w:t>
      </w:r>
      <w:r w:rsidRPr="00B71607">
        <w:rPr>
          <w:color w:val="000000"/>
        </w:rPr>
        <w:t xml:space="preserve"> </w:t>
      </w:r>
      <w:r>
        <w:rPr>
          <w:color w:val="000000"/>
        </w:rPr>
        <w:t>+</w:t>
      </w:r>
      <w:r w:rsidRPr="00B71607">
        <w:rPr>
          <w:color w:val="000000"/>
        </w:rPr>
        <w:t xml:space="preserve"> </w:t>
      </w:r>
      <w:proofErr w:type="spellStart"/>
      <w:r w:rsidR="00954AC8">
        <w:rPr>
          <w:b/>
          <w:color w:val="000000"/>
        </w:rPr>
        <w:t>g</w:t>
      </w:r>
      <w:r>
        <w:rPr>
          <w:rFonts w:eastAsiaTheme="minorEastAsia"/>
          <w:b/>
          <w:smallCaps/>
          <w:vertAlign w:val="subscript"/>
        </w:rPr>
        <w:t>z</w:t>
      </w:r>
      <w:proofErr w:type="spellEnd"/>
      <w:r>
        <w:t>)</w:t>
      </w:r>
      <w:r>
        <w:rPr>
          <w:color w:val="000000"/>
        </w:rPr>
        <w:t>·</w:t>
      </w:r>
      <w:r>
        <w:rPr>
          <w:b/>
          <w:color w:val="000000"/>
        </w:rPr>
        <w:t>Z</w:t>
      </w:r>
      <w:r>
        <w:rPr>
          <w:b/>
          <w:smallCaps/>
          <w:vertAlign w:val="subscript"/>
        </w:rPr>
        <w:t>–1</w:t>
      </w:r>
      <w:r>
        <w:t xml:space="preserve">, so that: 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  <w:gridCol w:w="682"/>
      </w:tblGrid>
      <w:tr w:rsidR="00D438A1" w:rsidTr="00835E17">
        <w:trPr>
          <w:jc w:val="center"/>
        </w:trPr>
        <w:tc>
          <w:tcPr>
            <w:tcW w:w="8319" w:type="dxa"/>
          </w:tcPr>
          <w:p w:rsidR="00D438A1" w:rsidRPr="00AD7E58" w:rsidRDefault="00CE4F70" w:rsidP="00835E17">
            <w:pPr>
              <w:pStyle w:val="H3"/>
              <w:keepNext w:val="0"/>
              <w:numPr>
                <w:ilvl w:val="0"/>
                <w:numId w:val="0"/>
              </w:numPr>
              <w:ind w:left="144"/>
              <w:jc w:val="center"/>
              <w:rPr>
                <w:szCs w:val="24"/>
              </w:rPr>
            </w:pPr>
            <w:r>
              <w:rPr>
                <w:rFonts w:eastAsiaTheme="minorEastAsia"/>
                <w:b/>
                <w:bCs/>
                <w:i/>
                <w:szCs w:val="24"/>
              </w:rPr>
              <w:t>α</w:t>
            </w:r>
            <w:r w:rsidR="00954AC8" w:rsidRPr="00AD7E58">
              <w:rPr>
                <w:rFonts w:eastAsiaTheme="minorEastAsia"/>
                <w:bCs/>
                <w:szCs w:val="24"/>
              </w:rPr>
              <w:t xml:space="preserve"> = </w:t>
            </w:r>
            <w:proofErr w:type="spellStart"/>
            <w:r w:rsidR="00954AC8" w:rsidRPr="00AD7E58">
              <w:rPr>
                <w:rFonts w:eastAsiaTheme="minorEastAsia"/>
                <w:b/>
                <w:bCs/>
                <w:i/>
                <w:szCs w:val="24"/>
              </w:rPr>
              <w:t>θ</w:t>
            </w:r>
            <w:r w:rsidR="00954AC8" w:rsidRPr="00AD7E58">
              <w:rPr>
                <w:rFonts w:eastAsiaTheme="minorEastAsia"/>
                <w:bCs/>
                <w:szCs w:val="24"/>
              </w:rPr>
              <w:t>·</w:t>
            </w:r>
            <w:r w:rsidR="00954AC8" w:rsidRPr="00AD7E58">
              <w:rPr>
                <w:rFonts w:eastAsiaTheme="minorEastAsia"/>
                <w:b/>
                <w:bCs/>
                <w:i/>
                <w:szCs w:val="24"/>
              </w:rPr>
              <w:t>c</w:t>
            </w:r>
            <w:proofErr w:type="spellEnd"/>
            <w:r w:rsidR="00954AC8" w:rsidRPr="00AD7E58">
              <w:rPr>
                <w:rFonts w:eastAsiaTheme="minorEastAsia"/>
                <w:bCs/>
                <w:szCs w:val="24"/>
              </w:rPr>
              <w:t>·[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e>
              </m:acc>
            </m:oMath>
            <w:r w:rsidR="00954AC8" w:rsidRPr="00AD7E58">
              <w:rPr>
                <w:szCs w:val="24"/>
              </w:rPr>
              <w:t xml:space="preserve"> – {1/(1 + </w:t>
            </w:r>
            <w:proofErr w:type="spellStart"/>
            <w:r w:rsidR="00954AC8" w:rsidRPr="00AD7E58">
              <w:rPr>
                <w:b/>
                <w:szCs w:val="24"/>
              </w:rPr>
              <w:t>g</w:t>
            </w:r>
            <w:r w:rsidR="00954AC8" w:rsidRPr="00AD7E58">
              <w:rPr>
                <w:b/>
                <w:smallCaps/>
                <w:szCs w:val="24"/>
                <w:vertAlign w:val="subscript"/>
              </w:rPr>
              <w:t>z</w:t>
            </w:r>
            <w:proofErr w:type="spellEnd"/>
            <w:r w:rsidR="00954AC8" w:rsidRPr="00AD7E58">
              <w:rPr>
                <w:szCs w:val="24"/>
              </w:rPr>
              <w:t>)}]</w:t>
            </w:r>
            <w:r w:rsidR="003A3D42" w:rsidRPr="00AD7E58">
              <w:rPr>
                <w:rFonts w:eastAsiaTheme="minorEastAsia"/>
                <w:b/>
                <w:bCs/>
                <w:i/>
                <w:szCs w:val="24"/>
              </w:rPr>
              <w:t xml:space="preserve"> </w:t>
            </w:r>
          </w:p>
        </w:tc>
        <w:tc>
          <w:tcPr>
            <w:tcW w:w="682" w:type="dxa"/>
          </w:tcPr>
          <w:p w:rsidR="00D438A1" w:rsidRPr="002D1EDD" w:rsidRDefault="00D438A1" w:rsidP="00835E17">
            <w:pPr>
              <w:pStyle w:val="H4"/>
              <w:numPr>
                <w:ilvl w:val="0"/>
                <w:numId w:val="0"/>
              </w:numPr>
              <w:outlineLvl w:val="9"/>
            </w:pPr>
            <w:bookmarkStart w:id="24" w:name="_Ref414356562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9</w:t>
            </w:r>
            <w:r w:rsidR="00321870">
              <w:rPr>
                <w:noProof/>
              </w:rPr>
              <w:fldChar w:fldCharType="end"/>
            </w:r>
            <w:r>
              <w:t>)</w:t>
            </w:r>
            <w:bookmarkEnd w:id="24"/>
          </w:p>
        </w:tc>
      </w:tr>
    </w:tbl>
    <w:p w:rsidR="00F86CF6" w:rsidRPr="00F86CF6" w:rsidRDefault="00AD7E58" w:rsidP="00D438A1">
      <w:r>
        <w:t>T</w:t>
      </w:r>
      <w:r w:rsidR="00D438A1">
        <w:t>he accumulation</w:t>
      </w:r>
      <w:r w:rsidR="00D438A1" w:rsidRPr="00B71607">
        <w:t xml:space="preserve"> </w:t>
      </w:r>
      <w:r w:rsidR="00D438A1">
        <w:t>rate rise</w:t>
      </w:r>
      <w:r>
        <w:t>s</w:t>
      </w:r>
      <w:r w:rsidR="00D438A1" w:rsidRPr="00B71607">
        <w:t xml:space="preserve"> </w:t>
      </w:r>
      <w:r w:rsidR="00D438A1">
        <w:t>with</w:t>
      </w:r>
      <w:r w:rsidR="00D438A1" w:rsidRPr="00B71607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D438A1" w:rsidRPr="00B71607">
        <w:rPr>
          <w:rFonts w:eastAsiaTheme="minorEastAsia"/>
        </w:rPr>
        <w:t xml:space="preserve"> </w:t>
      </w:r>
      <w:r w:rsidR="00D438A1">
        <w:rPr>
          <w:rFonts w:eastAsiaTheme="minorEastAsia"/>
        </w:rPr>
        <w:t>and/or</w:t>
      </w:r>
      <w:r w:rsidR="00D438A1" w:rsidRPr="00B71607">
        <w:t xml:space="preserve"> </w:t>
      </w:r>
      <w:r w:rsidR="00D438A1">
        <w:t>the growth</w:t>
      </w:r>
      <w:r w:rsidR="00D438A1" w:rsidRPr="00B71607">
        <w:t xml:space="preserve"> </w:t>
      </w:r>
      <w:r w:rsidR="00A43223">
        <w:t xml:space="preserve">rate </w:t>
      </w:r>
      <w:r w:rsidR="00D438A1">
        <w:t>of capacity.</w:t>
      </w:r>
      <w:r w:rsidR="00D438A1" w:rsidRPr="00B71607">
        <w:t xml:space="preserve"> </w:t>
      </w:r>
      <w:r w:rsidR="00F86CF6">
        <w:t>Most likely, inves</w:t>
      </w:r>
      <w:r w:rsidR="00F86CF6">
        <w:t>t</w:t>
      </w:r>
      <w:r w:rsidR="00F86CF6">
        <w:t xml:space="preserve">ment decisions depend on the </w:t>
      </w:r>
      <w:r w:rsidR="00F86CF6">
        <w:rPr>
          <w:i/>
        </w:rPr>
        <w:t>expected</w:t>
      </w:r>
      <w:r w:rsidR="00F86CF6">
        <w:t xml:space="preserve"> growth rate of full-capacity output</w:t>
      </w:r>
      <w:r w:rsidR="003B74C6">
        <w:t xml:space="preserve"> </w:t>
      </w:r>
      <w:r w:rsidR="00BE2224">
        <w:t>(</w:t>
      </w:r>
      <w:r w:rsidR="009E6123">
        <w:t xml:space="preserve">part of what Keynes called </w:t>
      </w:r>
      <w:r w:rsidR="00BE2224">
        <w:t xml:space="preserve">the “state of long-term expectations”) </w:t>
      </w:r>
      <w:r w:rsidR="003B74C6">
        <w:t>instead</w:t>
      </w:r>
      <w:r w:rsidR="000E10E0">
        <w:t>.</w:t>
      </w:r>
      <w:r w:rsidR="0073428F">
        <w:t xml:space="preserve"> </w:t>
      </w:r>
    </w:p>
    <w:p w:rsidR="00D438A1" w:rsidRDefault="00687E3A" w:rsidP="00D438A1">
      <w:r>
        <w:t>Finally, assume that a generalized version of adaptive expectations applies</w:t>
      </w:r>
      <w:r w:rsidR="00AF6F64">
        <w:t xml:space="preserve"> for actual (non-ideal) investment behavior</w:t>
      </w:r>
      <w:r>
        <w:t>, so that:</w:t>
      </w:r>
    </w:p>
    <w:tbl>
      <w:tblPr>
        <w:tblStyle w:val="TableGrid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  <w:gridCol w:w="682"/>
      </w:tblGrid>
      <w:tr w:rsidR="00687E3A" w:rsidTr="00DB2E35">
        <w:trPr>
          <w:jc w:val="center"/>
        </w:trPr>
        <w:tc>
          <w:tcPr>
            <w:tcW w:w="8319" w:type="dxa"/>
          </w:tcPr>
          <w:p w:rsidR="00687E3A" w:rsidRPr="00687E3A" w:rsidRDefault="00321870" w:rsidP="00687E3A">
            <w:pPr>
              <w:pStyle w:val="H3"/>
              <w:keepNext w:val="0"/>
              <w:numPr>
                <w:ilvl w:val="0"/>
                <w:numId w:val="0"/>
              </w:numPr>
              <w:ind w:left="144"/>
              <w:jc w:val="center"/>
              <w:rPr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e>
              </m:acc>
            </m:oMath>
            <w:r w:rsidR="00BC42B1">
              <w:rPr>
                <w:rFonts w:eastAsiaTheme="minorEastAsia"/>
                <w:b/>
                <w:bCs/>
                <w:i/>
                <w:szCs w:val="24"/>
              </w:rPr>
              <w:t xml:space="preserve"> </w:t>
            </w:r>
            <w:r w:rsidR="00687E3A">
              <w:rPr>
                <w:rFonts w:eastAsiaTheme="minorEastAsia"/>
                <w:bCs/>
                <w:szCs w:val="24"/>
              </w:rPr>
              <w:t xml:space="preserve">=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e>
              </m:acc>
            </m:oMath>
            <w:r w:rsidR="00687E3A">
              <w:rPr>
                <w:rFonts w:eastAsiaTheme="minorEastAsia"/>
                <w:b/>
                <w:smallCaps/>
                <w:szCs w:val="24"/>
                <w:vertAlign w:val="subscript"/>
              </w:rPr>
              <w:t>–1</w:t>
            </w:r>
            <w:r w:rsidR="00687E3A">
              <w:rPr>
                <w:rFonts w:eastAsiaTheme="minorEastAsia"/>
                <w:szCs w:val="24"/>
              </w:rPr>
              <w:t xml:space="preserve"> +</w:t>
            </w:r>
            <w:r w:rsidR="00687E3A" w:rsidRPr="004C2A5D">
              <w:rPr>
                <w:rFonts w:eastAsiaTheme="minorEastAsia"/>
                <w:b/>
                <w:szCs w:val="24"/>
              </w:rPr>
              <w:t xml:space="preserve"> </w:t>
            </w:r>
            <w:r w:rsidR="00687E3A" w:rsidRPr="004C2A5D">
              <w:rPr>
                <w:rFonts w:eastAsiaTheme="minorEastAsia"/>
                <w:b/>
                <w:i/>
                <w:szCs w:val="24"/>
              </w:rPr>
              <w:t>e</w:t>
            </w:r>
            <w:r w:rsidR="00687E3A">
              <w:rPr>
                <w:rFonts w:eastAsiaTheme="minorEastAsia"/>
                <w:szCs w:val="24"/>
              </w:rPr>
              <w:t>(</w:t>
            </w:r>
            <w:r w:rsidR="00687E3A">
              <w:rPr>
                <w:rFonts w:eastAsiaTheme="minorEastAsia"/>
                <w:b/>
                <w:i/>
                <w:szCs w:val="24"/>
              </w:rPr>
              <w:t>y</w:t>
            </w:r>
            <w:r w:rsidR="00687E3A">
              <w:rPr>
                <w:rFonts w:eastAsiaTheme="minorEastAsia"/>
                <w:b/>
                <w:smallCaps/>
                <w:szCs w:val="24"/>
                <w:vertAlign w:val="subscript"/>
              </w:rPr>
              <w:t>–1</w:t>
            </w:r>
            <w:r w:rsidR="00687E3A">
              <w:rPr>
                <w:rFonts w:eastAsiaTheme="minorEastAsia"/>
                <w:szCs w:val="24"/>
              </w:rPr>
              <w:t xml:space="preserve"> –</w:t>
            </w:r>
            <w:r w:rsidR="00BC42B1">
              <w:rPr>
                <w:rFonts w:eastAsiaTheme="minorEastAsia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e>
              </m:acc>
            </m:oMath>
            <w:r w:rsidR="00687E3A">
              <w:rPr>
                <w:rFonts w:eastAsiaTheme="minorEastAsia"/>
                <w:b/>
                <w:smallCaps/>
                <w:szCs w:val="24"/>
                <w:vertAlign w:val="subscript"/>
              </w:rPr>
              <w:t>–1</w:t>
            </w:r>
            <w:r w:rsidR="00687E3A">
              <w:rPr>
                <w:rFonts w:eastAsiaTheme="minorEastAsia"/>
                <w:szCs w:val="24"/>
              </w:rPr>
              <w:t>)</w:t>
            </w:r>
            <w:r w:rsidR="00571D5B">
              <w:rPr>
                <w:rFonts w:eastAsiaTheme="minorEastAsia"/>
                <w:szCs w:val="24"/>
              </w:rPr>
              <w:t xml:space="preserve"> </w:t>
            </w:r>
            <w:r w:rsidR="003B74C6">
              <w:rPr>
                <w:rFonts w:eastAsiaTheme="minorEastAsia"/>
                <w:szCs w:val="24"/>
              </w:rPr>
              <w:t xml:space="preserve">+ </w:t>
            </w:r>
            <w:r w:rsidR="003B74C6" w:rsidRPr="003B74C6">
              <w:rPr>
                <w:rFonts w:ascii="Times New Roman" w:eastAsiaTheme="minorEastAsia" w:hAnsi="Times New Roman"/>
                <w:b/>
                <w:i/>
                <w:szCs w:val="24"/>
              </w:rPr>
              <w:t>ε</w:t>
            </w:r>
            <w:r w:rsidR="00571D5B" w:rsidRPr="00571D5B">
              <w:rPr>
                <w:rFonts w:eastAsiaTheme="minorEastAsia"/>
                <w:color w:val="FFFFFF" w:themeColor="background1"/>
                <w:szCs w:val="24"/>
              </w:rPr>
              <w:t>_</w:t>
            </w:r>
            <w:r w:rsidR="00BC42B1">
              <w:rPr>
                <w:rFonts w:eastAsiaTheme="minorEastAsia"/>
                <w:szCs w:val="24"/>
              </w:rPr>
              <w:t xml:space="preserve"> </w:t>
            </w:r>
            <w:r w:rsidR="00687E3A">
              <w:rPr>
                <w:rFonts w:eastAsiaTheme="minorEastAsia"/>
                <w:szCs w:val="24"/>
              </w:rPr>
              <w:t xml:space="preserve">with </w:t>
            </w:r>
            <w:r w:rsidR="00687E3A" w:rsidRPr="004C2A5D">
              <w:rPr>
                <w:rFonts w:eastAsiaTheme="minorEastAsia"/>
                <w:b/>
                <w:i/>
                <w:szCs w:val="24"/>
              </w:rPr>
              <w:t>e</w:t>
            </w:r>
            <w:r w:rsidR="00687E3A">
              <w:rPr>
                <w:rFonts w:eastAsiaTheme="minorEastAsia"/>
                <w:szCs w:val="24"/>
              </w:rPr>
              <w:t xml:space="preserve">(0) = 0 and </w:t>
            </w:r>
            <w:r w:rsidR="00687E3A" w:rsidRPr="004C2A5D">
              <w:rPr>
                <w:rFonts w:eastAsiaTheme="minorEastAsia"/>
                <w:b/>
                <w:i/>
                <w:szCs w:val="24"/>
              </w:rPr>
              <w:t>e</w:t>
            </w:r>
            <w:r w:rsidR="00687E3A">
              <w:rPr>
                <w:rFonts w:eastAsiaTheme="minorEastAsia"/>
                <w:szCs w:val="24"/>
              </w:rPr>
              <w:t>’ &gt; 0.</w:t>
            </w:r>
            <w:r w:rsidR="00BC42B1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682" w:type="dxa"/>
          </w:tcPr>
          <w:p w:rsidR="00687E3A" w:rsidRPr="002D1EDD" w:rsidRDefault="00687E3A" w:rsidP="00DB2E35">
            <w:pPr>
              <w:pStyle w:val="H4"/>
              <w:numPr>
                <w:ilvl w:val="0"/>
                <w:numId w:val="0"/>
              </w:numPr>
              <w:outlineLvl w:val="9"/>
            </w:pPr>
            <w:bookmarkStart w:id="25" w:name="_Ref414356564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10</w:t>
            </w:r>
            <w:r w:rsidR="00321870">
              <w:rPr>
                <w:noProof/>
              </w:rPr>
              <w:fldChar w:fldCharType="end"/>
            </w:r>
            <w:r>
              <w:t>)</w:t>
            </w:r>
            <w:bookmarkEnd w:id="25"/>
          </w:p>
        </w:tc>
      </w:tr>
    </w:tbl>
    <w:bookmarkEnd w:id="14"/>
    <w:p w:rsidR="003B74C6" w:rsidRPr="003B74C6" w:rsidRDefault="003B74C6" w:rsidP="007E6DAA">
      <w:pPr>
        <w:spacing w:line="240" w:lineRule="auto"/>
      </w:pPr>
      <w:r>
        <w:lastRenderedPageBreak/>
        <w:t xml:space="preserve">Here, </w:t>
      </w:r>
      <w:r w:rsidRPr="003B74C6">
        <w:rPr>
          <w:rFonts w:ascii="Times New Roman" w:eastAsiaTheme="minorEastAsia" w:hAnsi="Times New Roman" w:cs="Times New Roman"/>
          <w:b/>
          <w:i/>
          <w:szCs w:val="24"/>
        </w:rPr>
        <w:t>ε</w:t>
      </w:r>
      <w:r>
        <w:rPr>
          <w:rFonts w:ascii="Times New Roman" w:hAnsi="Times New Roman" w:cs="Times New Roman"/>
        </w:rPr>
        <w:t xml:space="preserve"> is a random error term that represents other factors that can affect</w:t>
      </w:r>
      <w: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>
        <w:rPr>
          <w:rFonts w:eastAsiaTheme="minorEastAsia"/>
          <w:szCs w:val="24"/>
        </w:rPr>
        <w:t xml:space="preserve"> such as Keynesian “animal spirits”</w:t>
      </w:r>
      <w:r w:rsidR="00BE2224">
        <w:rPr>
          <w:rFonts w:eastAsiaTheme="minorEastAsia"/>
          <w:szCs w:val="24"/>
        </w:rPr>
        <w:t xml:space="preserve"> (</w:t>
      </w:r>
      <w:r w:rsidR="009E6123">
        <w:rPr>
          <w:rFonts w:eastAsiaTheme="minorEastAsia"/>
          <w:szCs w:val="24"/>
        </w:rPr>
        <w:t xml:space="preserve">what might be called </w:t>
      </w:r>
      <w:r w:rsidR="00BE2224">
        <w:rPr>
          <w:rFonts w:eastAsiaTheme="minorEastAsia"/>
          <w:szCs w:val="24"/>
        </w:rPr>
        <w:t xml:space="preserve">the </w:t>
      </w:r>
      <w:r w:rsidR="009E6123">
        <w:rPr>
          <w:rFonts w:eastAsiaTheme="minorEastAsia"/>
          <w:szCs w:val="24"/>
        </w:rPr>
        <w:t>“</w:t>
      </w:r>
      <w:r w:rsidR="00BE2224">
        <w:rPr>
          <w:rFonts w:eastAsiaTheme="minorEastAsia"/>
          <w:szCs w:val="24"/>
        </w:rPr>
        <w:t>state of short-term expectations</w:t>
      </w:r>
      <w:r w:rsidR="009E6123">
        <w:rPr>
          <w:rFonts w:eastAsiaTheme="minorEastAsia"/>
          <w:szCs w:val="24"/>
        </w:rPr>
        <w:t>”</w:t>
      </w:r>
      <w:r w:rsidR="00BE2224">
        <w:rPr>
          <w:rFonts w:eastAsiaTheme="minorEastAsia"/>
          <w:szCs w:val="24"/>
        </w:rPr>
        <w:t>)</w:t>
      </w:r>
      <w:r w:rsidR="00070F6A">
        <w:rPr>
          <w:rFonts w:eastAsiaTheme="minorEastAsia"/>
          <w:szCs w:val="24"/>
        </w:rPr>
        <w:t xml:space="preserve"> </w:t>
      </w:r>
      <w:r w:rsidR="009E6123">
        <w:rPr>
          <w:rFonts w:eastAsiaTheme="minorEastAsia"/>
          <w:szCs w:val="24"/>
        </w:rPr>
        <w:t xml:space="preserve">For the </w:t>
      </w:r>
      <w:r w:rsidR="009E6123">
        <w:rPr>
          <w:rFonts w:eastAsiaTheme="minorEastAsia"/>
          <w:szCs w:val="24"/>
        </w:rPr>
        <w:t>ada</w:t>
      </w:r>
      <w:r w:rsidR="009E6123">
        <w:rPr>
          <w:rFonts w:eastAsiaTheme="minorEastAsia"/>
          <w:szCs w:val="24"/>
        </w:rPr>
        <w:t>p</w:t>
      </w:r>
      <w:r w:rsidR="009E6123">
        <w:rPr>
          <w:rFonts w:eastAsiaTheme="minorEastAsia"/>
          <w:szCs w:val="24"/>
        </w:rPr>
        <w:t>tion of expectations (error-learning) to be the main tendency</w:t>
      </w:r>
      <w:r>
        <w:rPr>
          <w:rFonts w:eastAsiaTheme="minorEastAsia"/>
          <w:szCs w:val="24"/>
        </w:rPr>
        <w:t xml:space="preserve">, it </w:t>
      </w:r>
      <w:r w:rsidR="009E6123">
        <w:rPr>
          <w:rFonts w:eastAsiaTheme="minorEastAsia"/>
          <w:szCs w:val="24"/>
        </w:rPr>
        <w:t xml:space="preserve">should have an </w:t>
      </w:r>
      <w:r>
        <w:rPr>
          <w:rFonts w:eastAsiaTheme="minorEastAsia"/>
          <w:szCs w:val="24"/>
        </w:rPr>
        <w:t>averag</w:t>
      </w:r>
      <w:r w:rsidR="009E6123">
        <w:rPr>
          <w:rFonts w:eastAsiaTheme="minorEastAsia"/>
          <w:szCs w:val="24"/>
        </w:rPr>
        <w:t xml:space="preserve">e value of </w:t>
      </w:r>
      <w:r>
        <w:rPr>
          <w:rFonts w:eastAsiaTheme="minorEastAsia"/>
          <w:szCs w:val="24"/>
        </w:rPr>
        <w:t>zero</w:t>
      </w:r>
      <w:r w:rsidR="009E6123">
        <w:rPr>
          <w:rFonts w:eastAsiaTheme="minorEastAsia"/>
          <w:szCs w:val="24"/>
        </w:rPr>
        <w:t xml:space="preserve">. </w:t>
      </w:r>
      <w:r w:rsidR="004C2A5D">
        <w:rPr>
          <w:rFonts w:eastAsiaTheme="minorEastAsia"/>
          <w:szCs w:val="24"/>
        </w:rPr>
        <w:t xml:space="preserve">In this context, no </w:t>
      </w:r>
      <w:r>
        <w:rPr>
          <w:rFonts w:eastAsiaTheme="minorEastAsia"/>
          <w:szCs w:val="24"/>
        </w:rPr>
        <w:t>assumption about its statistical di</w:t>
      </w:r>
      <w:r>
        <w:rPr>
          <w:rFonts w:eastAsiaTheme="minorEastAsia"/>
          <w:szCs w:val="24"/>
        </w:rPr>
        <w:t>s</w:t>
      </w:r>
      <w:r>
        <w:rPr>
          <w:rFonts w:eastAsiaTheme="minorEastAsia"/>
          <w:szCs w:val="24"/>
        </w:rPr>
        <w:t>tribution</w:t>
      </w:r>
      <w:r w:rsidR="00070F6A">
        <w:rPr>
          <w:rFonts w:eastAsiaTheme="minorEastAsia"/>
          <w:szCs w:val="24"/>
        </w:rPr>
        <w:t xml:space="preserve"> </w:t>
      </w:r>
      <w:r w:rsidR="00070F6A">
        <w:rPr>
          <w:rFonts w:eastAsiaTheme="minorEastAsia"/>
          <w:szCs w:val="24"/>
        </w:rPr>
        <w:t>is needed</w:t>
      </w:r>
      <w:r>
        <w:rPr>
          <w:rFonts w:eastAsiaTheme="minorEastAsia"/>
          <w:szCs w:val="24"/>
        </w:rPr>
        <w:t>.</w:t>
      </w:r>
    </w:p>
    <w:p w:rsidR="00F8608F" w:rsidRDefault="007E6DAA" w:rsidP="007E6DAA">
      <w:pPr>
        <w:spacing w:line="240" w:lineRule="auto"/>
      </w:pPr>
      <w:r w:rsidRPr="007E6DAA">
        <w:rPr>
          <w:b/>
        </w:rPr>
        <w:t>(c)</w:t>
      </w:r>
      <w:r w:rsidR="003B76FA">
        <w:t xml:space="preserve"> </w:t>
      </w:r>
      <w:r w:rsidR="00EC1FB4">
        <w:t xml:space="preserve">Now </w:t>
      </w:r>
      <w:r w:rsidR="00FD335A">
        <w:t xml:space="preserve">use </w:t>
      </w:r>
      <w:r w:rsidR="00FD335A">
        <w:fldChar w:fldCharType="begin"/>
      </w:r>
      <w:r w:rsidR="00FD335A">
        <w:instrText xml:space="preserve"> REF  _Ref414354313 \h \* Lower </w:instrText>
      </w:r>
      <w:r w:rsidR="00FD335A">
        <w:fldChar w:fldCharType="separate"/>
      </w:r>
      <w:r w:rsidR="00292438">
        <w:t xml:space="preserve">figure </w:t>
      </w:r>
      <w:r w:rsidR="00292438">
        <w:rPr>
          <w:noProof/>
        </w:rPr>
        <w:t>2</w:t>
      </w:r>
      <w:r w:rsidR="00FD335A">
        <w:fldChar w:fldCharType="end"/>
      </w:r>
      <w:r w:rsidR="00FD335A">
        <w:t xml:space="preserve"> to </w:t>
      </w:r>
      <w:r w:rsidR="00EC1FB4">
        <w:t>consider the two cases</w:t>
      </w:r>
      <w:r w:rsidR="00ED2AF9">
        <w:t xml:space="preserve"> of warranted growth</w:t>
      </w:r>
      <w:r w:rsidR="0055572C">
        <w:t xml:space="preserve"> with </w:t>
      </w:r>
      <w:r w:rsidR="0055572C">
        <w:rPr>
          <w:b/>
          <w:i/>
        </w:rPr>
        <w:t>y</w:t>
      </w:r>
      <w:r w:rsidR="0055572C">
        <w:t xml:space="preserve"> </w:t>
      </w:r>
      <w:r w:rsidR="0055572C" w:rsidRPr="00B51348">
        <w:t>≠</w:t>
      </w:r>
      <w:r w:rsidR="0055572C">
        <w:t xml:space="preserve"> 1</w:t>
      </w:r>
      <w:r w:rsidR="000133FE">
        <w:t>.</w:t>
      </w:r>
      <w:r w:rsidR="00B71607" w:rsidRPr="00B71607">
        <w:t xml:space="preserve"> </w:t>
      </w:r>
      <w:r w:rsidR="000E10E0">
        <w:t>The hor</w:t>
      </w:r>
      <w:r w:rsidR="000E10E0">
        <w:t>i</w:t>
      </w:r>
      <w:r w:rsidR="000E10E0">
        <w:t xml:space="preserve">zontal </w:t>
      </w:r>
      <w:r w:rsidR="00FD0259" w:rsidRPr="00754150">
        <w:rPr>
          <w:b/>
          <w:i/>
        </w:rPr>
        <w:t>SR</w:t>
      </w:r>
      <w:r w:rsidR="00FD0259">
        <w:rPr>
          <w:b/>
        </w:rPr>
        <w:t xml:space="preserve"> </w:t>
      </w:r>
      <w:r w:rsidR="00754150">
        <w:t xml:space="preserve">line </w:t>
      </w:r>
      <w:r w:rsidR="000E10E0">
        <w:t xml:space="preserve">represents the fact that </w:t>
      </w:r>
      <w:r w:rsidR="000E10E0">
        <w:rPr>
          <w:b/>
          <w:i/>
        </w:rPr>
        <w:t>s</w:t>
      </w:r>
      <w:r w:rsidR="000E10E0">
        <w:rPr>
          <w:i/>
        </w:rPr>
        <w:t xml:space="preserve"> </w:t>
      </w:r>
      <w:r w:rsidR="000E10E0">
        <w:t xml:space="preserve">is given in the HMR. The upward-sloping </w:t>
      </w:r>
      <w:r w:rsidR="00FD0259" w:rsidRPr="00754150">
        <w:rPr>
          <w:b/>
          <w:i/>
        </w:rPr>
        <w:t>WG</w:t>
      </w:r>
      <w:r w:rsidR="00FD0259">
        <w:rPr>
          <w:b/>
        </w:rPr>
        <w:t xml:space="preserve"> </w:t>
      </w:r>
      <w:r w:rsidR="000E10E0">
        <w:t>line re</w:t>
      </w:r>
      <w:r w:rsidR="000E10E0">
        <w:t>p</w:t>
      </w:r>
      <w:r w:rsidR="000E10E0">
        <w:t xml:space="preserve">resents all of the possible cases where </w:t>
      </w:r>
      <w:r w:rsidR="00D34374">
        <w:t xml:space="preserve">condition </w:t>
      </w:r>
      <w:r w:rsidR="003553E2">
        <w:fldChar w:fldCharType="begin"/>
      </w:r>
      <w:r w:rsidR="003553E2">
        <w:instrText xml:space="preserve"> REF _Ref414380441 \h </w:instrText>
      </w:r>
      <w:r w:rsidR="003553E2">
        <w:fldChar w:fldCharType="separate"/>
      </w:r>
      <w:r w:rsidR="00292438">
        <w:t>(</w:t>
      </w:r>
      <w:r w:rsidR="00292438">
        <w:rPr>
          <w:noProof/>
        </w:rPr>
        <w:t>7</w:t>
      </w:r>
      <w:r w:rsidR="00292438">
        <w:t>)</w:t>
      </w:r>
      <w:r w:rsidR="003553E2">
        <w:fldChar w:fldCharType="end"/>
      </w:r>
      <w:r w:rsidR="003553E2">
        <w:t xml:space="preserve"> </w:t>
      </w:r>
      <w:r w:rsidR="00D34374">
        <w:t>is met</w:t>
      </w:r>
      <w:r w:rsidR="00DC1059">
        <w:t xml:space="preserve"> for a given value of </w:t>
      </w:r>
      <w:r w:rsidR="00DC1059">
        <w:rPr>
          <w:b/>
          <w:i/>
        </w:rPr>
        <w:t>y</w:t>
      </w:r>
      <w:r w:rsidR="00D34374">
        <w:t>, so that the actual growth rate equals the warranted rate</w:t>
      </w:r>
      <w:r w:rsidR="00DC1059">
        <w:t xml:space="preserve"> whether or not capacity utilization is full</w:t>
      </w:r>
      <w:r w:rsidR="00D34374">
        <w:t>.</w:t>
      </w:r>
      <w:r w:rsidR="00F61080">
        <w:t xml:space="preserve"> Finally</w:t>
      </w:r>
      <w:r w:rsidR="00D34374">
        <w:t>, p</w:t>
      </w:r>
      <w:r w:rsidR="000133FE">
        <w:t xml:space="preserve">oint </w:t>
      </w:r>
      <w:r w:rsidR="000133FE">
        <w:rPr>
          <w:b/>
        </w:rPr>
        <w:t>W</w:t>
      </w:r>
      <w:r w:rsidR="000133FE">
        <w:t xml:space="preserve"> represen</w:t>
      </w:r>
      <w:r w:rsidR="001B4266">
        <w:t xml:space="preserve">ts the </w:t>
      </w:r>
      <w:r w:rsidR="00D34374">
        <w:t xml:space="preserve">specific </w:t>
      </w:r>
      <w:r w:rsidR="001B4266">
        <w:t>case of wa</w:t>
      </w:r>
      <w:r w:rsidR="001B4266">
        <w:t>r</w:t>
      </w:r>
      <w:r w:rsidR="001B4266">
        <w:t>ranted growth</w:t>
      </w:r>
      <w:r w:rsidR="000133FE">
        <w:t xml:space="preserve"> with </w:t>
      </w:r>
      <w:r w:rsidR="000133FE">
        <w:rPr>
          <w:b/>
          <w:i/>
        </w:rPr>
        <w:t>y</w:t>
      </w:r>
      <w:r w:rsidR="000133FE">
        <w:t xml:space="preserve"> = 1 </w:t>
      </w:r>
      <w:r w:rsidR="004F5F61">
        <w:t xml:space="preserve">so that </w:t>
      </w:r>
      <w:r w:rsidR="00CE4F70">
        <w:rPr>
          <w:rFonts w:eastAsiaTheme="minorEastAsia"/>
          <w:b/>
          <w:bCs/>
          <w:i/>
        </w:rPr>
        <w:t>α</w:t>
      </w:r>
      <w:r w:rsidR="000133FE">
        <w:t xml:space="preserve"> = </w:t>
      </w:r>
      <w:r w:rsidR="000133FE">
        <w:rPr>
          <w:b/>
          <w:i/>
        </w:rPr>
        <w:t>s</w:t>
      </w:r>
      <w:r w:rsidR="000133FE">
        <w:t xml:space="preserve">. </w:t>
      </w:r>
    </w:p>
    <w:p w:rsidR="00EC204A" w:rsidRDefault="00886C66" w:rsidP="007E6DAA">
      <w:pPr>
        <w:spacing w:line="240" w:lineRule="auto"/>
        <w:rPr>
          <w:rFonts w:eastAsiaTheme="minorEastAsia"/>
          <w:bCs/>
        </w:rPr>
      </w:pPr>
      <w:r>
        <w:t>The c</w:t>
      </w:r>
      <w:r w:rsidR="000133FE">
        <w:t>ases</w:t>
      </w:r>
      <w:r w:rsidR="00C91FC8">
        <w:t xml:space="preserve"> with </w:t>
      </w:r>
      <w:r w:rsidR="00C91FC8">
        <w:rPr>
          <w:b/>
          <w:i/>
        </w:rPr>
        <w:t>y</w:t>
      </w:r>
      <w:r w:rsidR="00C91FC8">
        <w:t xml:space="preserve"> </w:t>
      </w:r>
      <w:r w:rsidR="00C91FC8" w:rsidRPr="00B51348">
        <w:t>≠</w:t>
      </w:r>
      <w:r w:rsidR="00C91FC8">
        <w:t xml:space="preserve"> 1</w:t>
      </w:r>
      <w:r w:rsidR="004F5F61">
        <w:t xml:space="preserve"> can be understood via </w:t>
      </w:r>
      <w:r w:rsidR="00CA082A">
        <w:t>a two-step procedure.</w:t>
      </w:r>
      <w:r w:rsidR="00C91FC8">
        <w:t xml:space="preserve"> In step (a)</w:t>
      </w:r>
      <w:r w:rsidR="00CA082A">
        <w:t>,</w:t>
      </w:r>
      <w:r w:rsidR="000133FE">
        <w:t xml:space="preserve"> </w:t>
      </w:r>
      <w:r w:rsidR="00F8608F">
        <w:rPr>
          <w:b/>
          <w:i/>
        </w:rPr>
        <w:t>y</w:t>
      </w:r>
      <w:r w:rsidR="00F8608F">
        <w:t xml:space="preserve"> is taken as given</w:t>
      </w:r>
      <w:r w:rsidR="007515C9">
        <w:t xml:space="preserve"> and constant</w:t>
      </w:r>
      <w:r w:rsidR="00F8608F">
        <w:t xml:space="preserve">. </w:t>
      </w:r>
      <w:r w:rsidR="00C91FC8">
        <w:t>In step (b)</w:t>
      </w:r>
      <w:r w:rsidR="00384FD0">
        <w:t xml:space="preserve">, </w:t>
      </w:r>
      <w:r w:rsidR="00AE19CE">
        <w:t>causation goes in the opposite direction: d</w:t>
      </w:r>
      <w:r w:rsidR="00384FD0">
        <w:t xml:space="preserve">eviations of </w:t>
      </w:r>
      <w:r w:rsidR="00384FD0">
        <w:rPr>
          <w:b/>
          <w:i/>
        </w:rPr>
        <w:t>y</w:t>
      </w:r>
      <w:r w:rsidR="00384FD0">
        <w:t xml:space="preserve"> from 1 i</w:t>
      </w:r>
      <w:r w:rsidR="00384FD0">
        <w:t>m</w:t>
      </w:r>
      <w:r w:rsidR="00384FD0">
        <w:t>ply</w:t>
      </w:r>
      <w:r w:rsidR="007515C9">
        <w:rPr>
          <w:rFonts w:eastAsiaTheme="minorEastAsia"/>
          <w:bCs/>
        </w:rPr>
        <w:t xml:space="preserve"> a changing </w:t>
      </w:r>
      <w:r w:rsidR="007515C9">
        <w:rPr>
          <w:rFonts w:eastAsiaTheme="minorEastAsia"/>
          <w:b/>
          <w:bCs/>
          <w:i/>
        </w:rPr>
        <w:t>y</w:t>
      </w:r>
      <w:r w:rsidR="007515C9">
        <w:rPr>
          <w:rFonts w:eastAsiaTheme="minorEastAsia"/>
          <w:bCs/>
        </w:rPr>
        <w:t xml:space="preserve"> and </w:t>
      </w:r>
      <w:r w:rsidR="007515C9" w:rsidRPr="007515C9">
        <w:rPr>
          <w:rFonts w:eastAsiaTheme="minorEastAsia"/>
          <w:b/>
          <w:bCs/>
          <w:i/>
        </w:rPr>
        <w:t>α</w:t>
      </w:r>
      <w:r w:rsidR="00C2353B">
        <w:rPr>
          <w:rFonts w:eastAsiaTheme="minorEastAsia"/>
          <w:bCs/>
        </w:rPr>
        <w:t>, following equations</w:t>
      </w:r>
      <w:r w:rsidR="00266903">
        <w:rPr>
          <w:rFonts w:eastAsiaTheme="minorEastAsia"/>
          <w:bCs/>
        </w:rPr>
        <w:t xml:space="preserve"> </w:t>
      </w:r>
      <w:r w:rsidR="004F5F61">
        <w:rPr>
          <w:rFonts w:eastAsiaTheme="minorEastAsia"/>
          <w:bCs/>
        </w:rPr>
        <w:fldChar w:fldCharType="begin"/>
      </w:r>
      <w:r w:rsidR="004F5F61">
        <w:rPr>
          <w:rFonts w:eastAsiaTheme="minorEastAsia"/>
          <w:bCs/>
        </w:rPr>
        <w:instrText xml:space="preserve"> REF _Ref414356564 \h </w:instrText>
      </w:r>
      <w:r w:rsidR="004F5F61">
        <w:rPr>
          <w:rFonts w:eastAsiaTheme="minorEastAsia"/>
          <w:bCs/>
        </w:rPr>
      </w:r>
      <w:r w:rsidR="004F5F61">
        <w:rPr>
          <w:rFonts w:eastAsiaTheme="minorEastAsia"/>
          <w:bCs/>
        </w:rPr>
        <w:fldChar w:fldCharType="separate"/>
      </w:r>
      <w:r w:rsidR="00292438">
        <w:t>(</w:t>
      </w:r>
      <w:r w:rsidR="00292438">
        <w:rPr>
          <w:noProof/>
        </w:rPr>
        <w:t>10</w:t>
      </w:r>
      <w:r w:rsidR="00292438">
        <w:t>)</w:t>
      </w:r>
      <w:r w:rsidR="004F5F61">
        <w:rPr>
          <w:rFonts w:eastAsiaTheme="minorEastAsia"/>
          <w:bCs/>
        </w:rPr>
        <w:fldChar w:fldCharType="end"/>
      </w:r>
      <w:r w:rsidR="004F5F61">
        <w:rPr>
          <w:rFonts w:eastAsiaTheme="minorEastAsia"/>
          <w:bCs/>
        </w:rPr>
        <w:t xml:space="preserve"> and </w:t>
      </w:r>
      <w:r w:rsidR="00C2353B">
        <w:rPr>
          <w:rFonts w:eastAsiaTheme="minorEastAsia"/>
          <w:bCs/>
        </w:rPr>
        <w:fldChar w:fldCharType="begin"/>
      </w:r>
      <w:r w:rsidR="00C2353B">
        <w:rPr>
          <w:rFonts w:eastAsiaTheme="minorEastAsia"/>
          <w:bCs/>
        </w:rPr>
        <w:instrText xml:space="preserve"> REF _Ref414356562 \h </w:instrText>
      </w:r>
      <w:r w:rsidR="00C2353B">
        <w:rPr>
          <w:rFonts w:eastAsiaTheme="minorEastAsia"/>
          <w:bCs/>
        </w:rPr>
      </w:r>
      <w:r w:rsidR="00C2353B">
        <w:rPr>
          <w:rFonts w:eastAsiaTheme="minorEastAsia"/>
          <w:bCs/>
        </w:rPr>
        <w:fldChar w:fldCharType="separate"/>
      </w:r>
      <w:r w:rsidR="00292438">
        <w:t>(</w:t>
      </w:r>
      <w:r w:rsidR="00292438">
        <w:rPr>
          <w:noProof/>
        </w:rPr>
        <w:t>9</w:t>
      </w:r>
      <w:r w:rsidR="00292438">
        <w:t>)</w:t>
      </w:r>
      <w:r w:rsidR="00C2353B">
        <w:rPr>
          <w:rFonts w:eastAsiaTheme="minorEastAsia"/>
          <w:bCs/>
        </w:rPr>
        <w:fldChar w:fldCharType="end"/>
      </w:r>
      <w:r w:rsidR="00C2353B">
        <w:rPr>
          <w:rFonts w:eastAsiaTheme="minorEastAsia"/>
          <w:bCs/>
        </w:rPr>
        <w:t xml:space="preserve">. </w:t>
      </w:r>
    </w:p>
    <w:p w:rsidR="006B1A19" w:rsidRPr="00557188" w:rsidRDefault="00EC204A" w:rsidP="007E6DAA">
      <w:pPr>
        <w:spacing w:line="240" w:lineRule="auto"/>
        <w:rPr>
          <w:rFonts w:eastAsiaTheme="minorEastAsia"/>
          <w:bCs/>
          <w:szCs w:val="24"/>
        </w:rPr>
      </w:pPr>
      <w:r>
        <w:t>St</w:t>
      </w:r>
      <w:r w:rsidR="00A43223">
        <w:t>a</w:t>
      </w:r>
      <w:r>
        <w:t>r</w:t>
      </w:r>
      <w:r w:rsidR="00A43223">
        <w:t xml:space="preserve">t </w:t>
      </w:r>
      <w:r>
        <w:t xml:space="preserve">at </w:t>
      </w:r>
      <w:r w:rsidR="00A43223">
        <w:t xml:space="preserve">point </w:t>
      </w:r>
      <w:r w:rsidR="00A43223">
        <w:rPr>
          <w:b/>
        </w:rPr>
        <w:t>W</w:t>
      </w:r>
      <w:r w:rsidR="00BC42B1">
        <w:t xml:space="preserve"> and step (a)</w:t>
      </w:r>
      <w:r w:rsidR="006B1A19">
        <w:t>, with the small wobbles away from this equilibrium being e</w:t>
      </w:r>
      <w:r w:rsidR="006B1A19">
        <w:t>x</w:t>
      </w:r>
      <w:r w:rsidR="006B1A19">
        <w:t>aggerated in the graph</w:t>
      </w:r>
      <w:r w:rsidR="00A43223">
        <w:t>.</w:t>
      </w:r>
      <w:r w:rsidR="00BC42B1">
        <w:t xml:space="preserve"> S</w:t>
      </w:r>
      <w:r w:rsidR="00AA4684">
        <w:t>uppose</w:t>
      </w:r>
      <w:r w:rsidR="00B71607" w:rsidRPr="00B71607">
        <w:t xml:space="preserve"> </w:t>
      </w:r>
      <w:r w:rsidR="00AA4684">
        <w:t>that</w:t>
      </w:r>
      <w:r w:rsidR="00592636">
        <w:t xml:space="preserve">, due to a fall of </w:t>
      </w:r>
      <w:r w:rsidR="00592636" w:rsidRPr="0009717A">
        <w:rPr>
          <w:rFonts w:eastAsiaTheme="minorEastAsia"/>
          <w:b/>
          <w:bCs/>
          <w:i/>
        </w:rPr>
        <w:t>α</w:t>
      </w:r>
      <w:r w:rsidR="00592636">
        <w:t xml:space="preserve">, </w:t>
      </w:r>
      <w:r w:rsidR="00CA082A">
        <w:rPr>
          <w:rFonts w:eastAsiaTheme="minorEastAsia"/>
          <w:b/>
          <w:bCs/>
          <w:i/>
        </w:rPr>
        <w:t>y</w:t>
      </w:r>
      <w:r w:rsidR="00B71607" w:rsidRPr="00B71607">
        <w:t xml:space="preserve"> </w:t>
      </w:r>
      <w:r w:rsidR="00A43223">
        <w:t xml:space="preserve">falls to </w:t>
      </w:r>
      <w:proofErr w:type="spellStart"/>
      <w:r w:rsidR="00687E3A">
        <w:rPr>
          <w:b/>
          <w:bCs/>
          <w:i/>
        </w:rPr>
        <w:t>y</w:t>
      </w:r>
      <w:r w:rsidR="00687E3A">
        <w:rPr>
          <w:b/>
          <w:bCs/>
          <w:smallCaps/>
          <w:vertAlign w:val="subscript"/>
        </w:rPr>
        <w:t>A</w:t>
      </w:r>
      <w:proofErr w:type="spellEnd"/>
      <w:r w:rsidR="00C80000">
        <w:rPr>
          <w:bCs/>
        </w:rPr>
        <w:t xml:space="preserve"> &lt; 1</w:t>
      </w:r>
      <w:r w:rsidR="006B1A19">
        <w:rPr>
          <w:bCs/>
        </w:rPr>
        <w:t xml:space="preserve">, so </w:t>
      </w:r>
      <w:r w:rsidR="00A43223">
        <w:rPr>
          <w:bCs/>
        </w:rPr>
        <w:t xml:space="preserve">that </w:t>
      </w:r>
      <w:r w:rsidR="00CE4F70">
        <w:rPr>
          <w:rFonts w:eastAsiaTheme="minorEastAsia"/>
          <w:b/>
          <w:bCs/>
          <w:i/>
        </w:rPr>
        <w:t>α</w:t>
      </w:r>
      <w:r w:rsidR="00A43223">
        <w:rPr>
          <w:bCs/>
        </w:rPr>
        <w:t xml:space="preserve"> = </w:t>
      </w:r>
      <w:proofErr w:type="spellStart"/>
      <w:r w:rsidRPr="00EC204A">
        <w:rPr>
          <w:b/>
          <w:bCs/>
          <w:i/>
        </w:rPr>
        <w:t>s</w:t>
      </w:r>
      <w:r w:rsidR="00A43223">
        <w:rPr>
          <w:bCs/>
        </w:rPr>
        <w:t>·</w:t>
      </w:r>
      <w:r w:rsidR="00A43223">
        <w:rPr>
          <w:b/>
          <w:bCs/>
          <w:i/>
        </w:rPr>
        <w:t>y</w:t>
      </w:r>
      <w:r w:rsidR="00A43223">
        <w:rPr>
          <w:b/>
          <w:bCs/>
          <w:smallCaps/>
          <w:vertAlign w:val="subscript"/>
        </w:rPr>
        <w:t>a</w:t>
      </w:r>
      <w:proofErr w:type="spellEnd"/>
      <w:r w:rsidR="00A43223">
        <w:rPr>
          <w:bCs/>
        </w:rPr>
        <w:t xml:space="preserve"> &lt; </w:t>
      </w:r>
      <w:r w:rsidR="00A43223">
        <w:rPr>
          <w:b/>
          <w:bCs/>
          <w:i/>
        </w:rPr>
        <w:t>s</w:t>
      </w:r>
      <w:r w:rsidR="00FD0259">
        <w:rPr>
          <w:bCs/>
        </w:rPr>
        <w:t xml:space="preserve"> at point </w:t>
      </w:r>
      <w:r w:rsidR="00FD0259">
        <w:rPr>
          <w:b/>
          <w:bCs/>
        </w:rPr>
        <w:t>A</w:t>
      </w:r>
      <w:r w:rsidR="00A43223">
        <w:rPr>
          <w:bCs/>
        </w:rPr>
        <w:t xml:space="preserve">. </w:t>
      </w:r>
      <w:r w:rsidR="00E11A8F">
        <w:rPr>
          <w:bCs/>
        </w:rPr>
        <w:t xml:space="preserve">With </w:t>
      </w:r>
      <w:r w:rsidR="00E11A8F">
        <w:rPr>
          <w:b/>
          <w:bCs/>
          <w:i/>
        </w:rPr>
        <w:t>y</w:t>
      </w:r>
      <w:r w:rsidR="00E11A8F">
        <w:rPr>
          <w:bCs/>
        </w:rPr>
        <w:t xml:space="preserve"> staying constantly equal to </w:t>
      </w:r>
      <w:proofErr w:type="spellStart"/>
      <w:r w:rsidR="00E11A8F">
        <w:rPr>
          <w:b/>
          <w:bCs/>
          <w:i/>
        </w:rPr>
        <w:t>y</w:t>
      </w:r>
      <w:r w:rsidR="00E11A8F">
        <w:rPr>
          <w:b/>
          <w:bCs/>
          <w:smallCaps/>
          <w:vertAlign w:val="subscript"/>
        </w:rPr>
        <w:t>A</w:t>
      </w:r>
      <w:proofErr w:type="spellEnd"/>
      <w:r w:rsidR="00E11A8F">
        <w:rPr>
          <w:bCs/>
        </w:rPr>
        <w:t xml:space="preserve">, </w:t>
      </w:r>
      <w:r w:rsidR="007515C9">
        <w:rPr>
          <w:bCs/>
        </w:rPr>
        <w:t xml:space="preserve">we see </w:t>
      </w:r>
      <w:r w:rsidR="00C91FC8">
        <w:rPr>
          <w:bCs/>
        </w:rPr>
        <w:t>grow</w:t>
      </w:r>
      <w:r w:rsidR="006B1A19">
        <w:rPr>
          <w:bCs/>
        </w:rPr>
        <w:t>th</w:t>
      </w:r>
      <w:r w:rsidR="00C91FC8">
        <w:rPr>
          <w:bCs/>
        </w:rPr>
        <w:t xml:space="preserve"> at a constant rate</w:t>
      </w:r>
      <w:r w:rsidR="007515C9">
        <w:rPr>
          <w:bCs/>
        </w:rPr>
        <w:t xml:space="preserve"> d</w:t>
      </w:r>
      <w:r w:rsidR="007515C9">
        <w:rPr>
          <w:bCs/>
        </w:rPr>
        <w:t>e</w:t>
      </w:r>
      <w:r w:rsidR="007515C9">
        <w:rPr>
          <w:bCs/>
        </w:rPr>
        <w:t xml:space="preserve">spite the low value of </w:t>
      </w:r>
      <w:r w:rsidR="007515C9">
        <w:rPr>
          <w:b/>
          <w:bCs/>
          <w:i/>
        </w:rPr>
        <w:t>y</w:t>
      </w:r>
      <w:r w:rsidR="00C91FC8">
        <w:rPr>
          <w:bCs/>
        </w:rPr>
        <w:t>.</w:t>
      </w:r>
      <w:r w:rsidR="00754150">
        <w:rPr>
          <w:bCs/>
        </w:rPr>
        <w:t xml:space="preserve"> A</w:t>
      </w:r>
      <w:r w:rsidR="00754150">
        <w:rPr>
          <w:bCs/>
        </w:rPr>
        <w:t>s with a</w:t>
      </w:r>
      <w:r w:rsidR="00754150">
        <w:rPr>
          <w:bCs/>
        </w:rPr>
        <w:t xml:space="preserve">ll points on the </w:t>
      </w:r>
      <w:r w:rsidR="00754150" w:rsidRPr="00754150">
        <w:rPr>
          <w:b/>
          <w:bCs/>
          <w:i/>
        </w:rPr>
        <w:t>WG</w:t>
      </w:r>
      <w:r w:rsidR="00754150">
        <w:rPr>
          <w:bCs/>
        </w:rPr>
        <w:t xml:space="preserve"> line, </w:t>
      </w:r>
      <w:r w:rsidR="00FA5172">
        <w:rPr>
          <w:bCs/>
        </w:rPr>
        <w:t xml:space="preserve">actual growth </w:t>
      </w:r>
      <w:r w:rsidR="00754150">
        <w:rPr>
          <w:bCs/>
        </w:rPr>
        <w:t xml:space="preserve">is </w:t>
      </w:r>
      <w:r w:rsidR="00FA5172">
        <w:rPr>
          <w:bCs/>
        </w:rPr>
        <w:t xml:space="preserve">warranted. </w:t>
      </w:r>
      <w:r w:rsidR="00FD6198">
        <w:rPr>
          <w:bCs/>
        </w:rPr>
        <w:t xml:space="preserve">That is, we </w:t>
      </w:r>
      <w:r w:rsidR="00FD6198">
        <w:rPr>
          <w:rFonts w:eastAsiaTheme="minorEastAsia"/>
          <w:bCs/>
          <w:szCs w:val="24"/>
        </w:rPr>
        <w:t xml:space="preserve">see steady growth of </w:t>
      </w:r>
      <w:r w:rsidR="00FD6198">
        <w:rPr>
          <w:rFonts w:eastAsiaTheme="minorEastAsia"/>
          <w:b/>
          <w:bCs/>
          <w:szCs w:val="24"/>
        </w:rPr>
        <w:t>Y</w:t>
      </w:r>
      <w:r w:rsidR="00FD6198">
        <w:rPr>
          <w:rFonts w:eastAsiaTheme="minorEastAsia"/>
          <w:bCs/>
          <w:szCs w:val="24"/>
        </w:rPr>
        <w:t xml:space="preserve"> exactly in step with </w:t>
      </w:r>
      <w:r w:rsidR="00FD6198">
        <w:rPr>
          <w:rFonts w:eastAsiaTheme="minorEastAsia"/>
          <w:b/>
          <w:bCs/>
          <w:szCs w:val="24"/>
        </w:rPr>
        <w:t>Z</w:t>
      </w:r>
      <w:r w:rsidR="00FD6198">
        <w:rPr>
          <w:rFonts w:eastAsiaTheme="minorEastAsia"/>
          <w:bCs/>
          <w:szCs w:val="24"/>
        </w:rPr>
        <w:t xml:space="preserve"> but with the former always being lower than the latter</w:t>
      </w:r>
      <w:r w:rsidR="00FD6198">
        <w:rPr>
          <w:rFonts w:eastAsiaTheme="minorEastAsia"/>
          <w:bCs/>
          <w:szCs w:val="24"/>
        </w:rPr>
        <w:t xml:space="preserve">, a </w:t>
      </w:r>
      <w:r w:rsidR="00FD6198">
        <w:rPr>
          <w:rFonts w:eastAsiaTheme="minorEastAsia"/>
          <w:bCs/>
          <w:szCs w:val="24"/>
        </w:rPr>
        <w:t xml:space="preserve">relationship is similar to that between the growth paths </w:t>
      </w:r>
      <w:r w:rsidR="00FD6198" w:rsidRPr="001D2D0F">
        <w:rPr>
          <w:rFonts w:eastAsiaTheme="minorEastAsia"/>
          <w:b/>
          <w:bCs/>
          <w:i/>
          <w:szCs w:val="24"/>
        </w:rPr>
        <w:t>YY</w:t>
      </w:r>
      <w:r w:rsidR="00FD6198">
        <w:rPr>
          <w:rFonts w:eastAsiaTheme="minorEastAsia"/>
          <w:bCs/>
          <w:szCs w:val="24"/>
        </w:rPr>
        <w:t xml:space="preserve"> and </w:t>
      </w:r>
      <w:r w:rsidR="00FD6198" w:rsidRPr="001D2D0F">
        <w:rPr>
          <w:rFonts w:eastAsiaTheme="minorEastAsia"/>
          <w:b/>
          <w:bCs/>
          <w:i/>
          <w:szCs w:val="24"/>
        </w:rPr>
        <w:t>FF</w:t>
      </w:r>
      <w:r w:rsidR="00FD6198">
        <w:rPr>
          <w:rFonts w:eastAsiaTheme="minorEastAsia"/>
          <w:bCs/>
          <w:szCs w:val="24"/>
        </w:rPr>
        <w:t xml:space="preserve"> in </w:t>
      </w:r>
      <w:r w:rsidR="00FD6198">
        <w:rPr>
          <w:rFonts w:eastAsiaTheme="minorEastAsia"/>
          <w:bCs/>
          <w:szCs w:val="24"/>
        </w:rPr>
        <w:fldChar w:fldCharType="begin"/>
      </w:r>
      <w:r w:rsidR="00FD6198">
        <w:rPr>
          <w:rFonts w:eastAsiaTheme="minorEastAsia"/>
          <w:bCs/>
          <w:szCs w:val="24"/>
        </w:rPr>
        <w:instrText xml:space="preserve"> REF  _Ref407686664 \h \* Lower </w:instrText>
      </w:r>
      <w:r w:rsidR="00FD6198">
        <w:rPr>
          <w:rFonts w:eastAsiaTheme="minorEastAsia"/>
          <w:bCs/>
          <w:szCs w:val="24"/>
        </w:rPr>
      </w:r>
      <w:r w:rsidR="00FD6198">
        <w:rPr>
          <w:rFonts w:eastAsiaTheme="minorEastAsia"/>
          <w:bCs/>
          <w:szCs w:val="24"/>
        </w:rPr>
        <w:fldChar w:fldCharType="separate"/>
      </w:r>
      <w:r w:rsidR="00292438">
        <w:t>figure</w:t>
      </w:r>
      <w:r w:rsidR="00292438" w:rsidRPr="00B71607">
        <w:t xml:space="preserve"> </w:t>
      </w:r>
      <w:r w:rsidR="00292438">
        <w:rPr>
          <w:noProof/>
        </w:rPr>
        <w:t>1</w:t>
      </w:r>
      <w:r w:rsidR="00FD6198">
        <w:rPr>
          <w:rFonts w:eastAsiaTheme="minorEastAsia"/>
          <w:bCs/>
          <w:szCs w:val="24"/>
        </w:rPr>
        <w:fldChar w:fldCharType="end"/>
      </w:r>
      <w:r w:rsidR="00FD6198">
        <w:rPr>
          <w:rFonts w:eastAsiaTheme="minorEastAsia"/>
          <w:bCs/>
          <w:szCs w:val="24"/>
        </w:rPr>
        <w:t>.</w:t>
      </w:r>
    </w:p>
    <w:p w:rsidR="00D34374" w:rsidRPr="00EC1FB4" w:rsidRDefault="00D34374" w:rsidP="00D34374">
      <w:pPr>
        <w:pStyle w:val="Caption"/>
      </w:pPr>
      <w:bookmarkStart w:id="26" w:name="_Ref414354313"/>
      <w:r>
        <w:t xml:space="preserve">Figure </w:t>
      </w:r>
      <w:r w:rsidR="00321870">
        <w:fldChar w:fldCharType="begin"/>
      </w:r>
      <w:r w:rsidR="00321870">
        <w:instrText xml:space="preserve"> SEQ Figure \* ARABIC </w:instrText>
      </w:r>
      <w:r w:rsidR="00321870">
        <w:fldChar w:fldCharType="separate"/>
      </w:r>
      <w:r w:rsidR="00292438">
        <w:rPr>
          <w:noProof/>
        </w:rPr>
        <w:t>2</w:t>
      </w:r>
      <w:r w:rsidR="00321870">
        <w:rPr>
          <w:noProof/>
        </w:rPr>
        <w:fldChar w:fldCharType="end"/>
      </w:r>
      <w:bookmarkEnd w:id="26"/>
      <w:r>
        <w:t xml:space="preserve">: Warranted </w:t>
      </w:r>
      <w:r>
        <w:rPr>
          <w:i/>
        </w:rPr>
        <w:t>vs.</w:t>
      </w:r>
      <w:r>
        <w:t xml:space="preserve"> Actual Growth.</w:t>
      </w:r>
    </w:p>
    <w:p w:rsidR="00D34374" w:rsidRPr="00D34374" w:rsidRDefault="00D34374" w:rsidP="00D34374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17ECFE5B" wp14:editId="79E69F14">
            <wp:extent cx="4103153" cy="266358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al.v.Warranted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153" cy="26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19" w:rsidRDefault="00BC42B1" w:rsidP="007E6DAA">
      <w:pPr>
        <w:spacing w:line="240" w:lineRule="auto"/>
      </w:pPr>
      <w:r>
        <w:rPr>
          <w:bCs/>
        </w:rPr>
        <w:t xml:space="preserve">That this is merely a </w:t>
      </w:r>
      <w:r w:rsidRPr="00BC42B1">
        <w:rPr>
          <w:bCs/>
          <w:i/>
        </w:rPr>
        <w:t>temporary</w:t>
      </w:r>
      <w:r>
        <w:rPr>
          <w:bCs/>
        </w:rPr>
        <w:t xml:space="preserve"> equilibrium can be seen </w:t>
      </w:r>
      <w:r w:rsidR="006B1A19">
        <w:rPr>
          <w:bCs/>
        </w:rPr>
        <w:t xml:space="preserve">via a </w:t>
      </w:r>
      <w:r>
        <w:rPr>
          <w:bCs/>
        </w:rPr>
        <w:t>down-to-earth</w:t>
      </w:r>
      <w:r w:rsidR="00195070">
        <w:rPr>
          <w:bCs/>
        </w:rPr>
        <w:t xml:space="preserve"> example: </w:t>
      </w:r>
      <w:r w:rsidR="00C91FC8">
        <w:t>the RF adds a second factory (increasing capacity) while continuing to use both factories du</w:t>
      </w:r>
      <w:r w:rsidR="00C91FC8">
        <w:t>r</w:t>
      </w:r>
      <w:r w:rsidR="00C91FC8">
        <w:t xml:space="preserve">ing only </w:t>
      </w:r>
      <w:r w:rsidR="00F83D20">
        <w:t xml:space="preserve">two out of three possible </w:t>
      </w:r>
      <w:r w:rsidR="00C91FC8">
        <w:t>shift</w:t>
      </w:r>
      <w:r w:rsidR="00F83D20">
        <w:t>s</w:t>
      </w:r>
      <w:r>
        <w:t xml:space="preserve">. </w:t>
      </w:r>
      <w:r w:rsidR="00F83D20">
        <w:t>In this situation</w:t>
      </w:r>
      <w:r>
        <w:t xml:space="preserve">, </w:t>
      </w:r>
      <w:r w:rsidR="00C91FC8">
        <w:t xml:space="preserve">total capacity </w:t>
      </w:r>
      <w:r w:rsidR="00F83D20">
        <w:t xml:space="preserve">grows but </w:t>
      </w:r>
      <w:r w:rsidR="00C91FC8">
        <w:t>sta</w:t>
      </w:r>
      <w:r>
        <w:t>ys u</w:t>
      </w:r>
      <w:r>
        <w:t>n</w:t>
      </w:r>
      <w:r>
        <w:t>derused at a constant rate</w:t>
      </w:r>
      <w:r w:rsidR="00C91FC8">
        <w:t xml:space="preserve">. </w:t>
      </w:r>
      <w:r w:rsidR="006B1A19">
        <w:t>In this case, unused capacity means that the accumul</w:t>
      </w:r>
      <w:r w:rsidR="006B1A19">
        <w:t>a</w:t>
      </w:r>
      <w:r w:rsidR="006B1A19">
        <w:t>tion rate is likely to fall. If the firm is standing in for the entire economy, falling accumulation redu</w:t>
      </w:r>
      <w:r w:rsidR="006B1A19">
        <w:t>c</w:t>
      </w:r>
      <w:r w:rsidR="006B1A19">
        <w:t>e</w:t>
      </w:r>
      <w:r w:rsidR="00F83D20">
        <w:t>s</w:t>
      </w:r>
      <w:r w:rsidR="006B1A19">
        <w:t xml:space="preserve"> aggregate demand and thus </w:t>
      </w:r>
      <w:r w:rsidR="006B1A19">
        <w:rPr>
          <w:b/>
          <w:i/>
        </w:rPr>
        <w:t>y</w:t>
      </w:r>
      <w:r w:rsidR="006B1A19">
        <w:t xml:space="preserve">. So we must move </w:t>
      </w:r>
      <w:r>
        <w:t>on to step (b)</w:t>
      </w:r>
      <w:r w:rsidR="006B1A19">
        <w:t>.</w:t>
      </w:r>
    </w:p>
    <w:p w:rsidR="007F1B90" w:rsidRDefault="00BC42B1" w:rsidP="007E6DAA">
      <w:pPr>
        <w:spacing w:line="240" w:lineRule="auto"/>
        <w:rPr>
          <w:bCs/>
        </w:rPr>
      </w:pPr>
      <w:r>
        <w:t>T</w:t>
      </w:r>
      <w:r w:rsidR="00A43223">
        <w:rPr>
          <w:bCs/>
        </w:rPr>
        <w:t xml:space="preserve">his </w:t>
      </w:r>
      <w:r>
        <w:rPr>
          <w:bCs/>
        </w:rPr>
        <w:t xml:space="preserve">situation </w:t>
      </w:r>
      <w:r w:rsidR="00A43223">
        <w:rPr>
          <w:bCs/>
        </w:rPr>
        <w:t xml:space="preserve">causes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A43223">
        <w:rPr>
          <w:rFonts w:eastAsiaTheme="minorEastAsia"/>
          <w:bCs/>
        </w:rPr>
        <w:t xml:space="preserve"> to fall </w:t>
      </w:r>
      <w:r>
        <w:rPr>
          <w:rFonts w:eastAsiaTheme="minorEastAsia"/>
          <w:bCs/>
        </w:rPr>
        <w:t>(</w:t>
      </w:r>
      <w:r w:rsidR="00EC204A">
        <w:rPr>
          <w:rFonts w:eastAsiaTheme="minorEastAsia"/>
          <w:bCs/>
        </w:rPr>
        <w:t xml:space="preserve">following </w:t>
      </w:r>
      <w:r w:rsidR="00C77C7D">
        <w:rPr>
          <w:rFonts w:eastAsiaTheme="minorEastAsia"/>
          <w:bCs/>
        </w:rPr>
        <w:t xml:space="preserve">equation </w:t>
      </w:r>
      <w:r w:rsidR="00C77C7D">
        <w:rPr>
          <w:rFonts w:eastAsiaTheme="minorEastAsia"/>
          <w:bCs/>
        </w:rPr>
        <w:fldChar w:fldCharType="begin"/>
      </w:r>
      <w:r w:rsidR="00C77C7D">
        <w:rPr>
          <w:rFonts w:eastAsiaTheme="minorEastAsia"/>
          <w:bCs/>
        </w:rPr>
        <w:instrText xml:space="preserve"> REF _Ref414356564 \h </w:instrText>
      </w:r>
      <w:r w:rsidR="00C77C7D">
        <w:rPr>
          <w:rFonts w:eastAsiaTheme="minorEastAsia"/>
          <w:bCs/>
        </w:rPr>
      </w:r>
      <w:r w:rsidR="00C77C7D">
        <w:rPr>
          <w:rFonts w:eastAsiaTheme="minorEastAsia"/>
          <w:bCs/>
        </w:rPr>
        <w:fldChar w:fldCharType="separate"/>
      </w:r>
      <w:r w:rsidR="00292438">
        <w:t>(</w:t>
      </w:r>
      <w:r w:rsidR="00292438">
        <w:rPr>
          <w:noProof/>
        </w:rPr>
        <w:t>10</w:t>
      </w:r>
      <w:r w:rsidR="00292438">
        <w:t>)</w:t>
      </w:r>
      <w:r w:rsidR="00C77C7D">
        <w:rPr>
          <w:rFonts w:eastAsiaTheme="minorEastAsia"/>
          <w:bCs/>
        </w:rPr>
        <w:fldChar w:fldCharType="end"/>
      </w:r>
      <w:r>
        <w:rPr>
          <w:rFonts w:eastAsiaTheme="minorEastAsia"/>
          <w:bCs/>
        </w:rPr>
        <w:t>)</w:t>
      </w:r>
      <w:r w:rsidR="00A43223">
        <w:rPr>
          <w:rFonts w:eastAsiaTheme="minorEastAsia"/>
          <w:bCs/>
        </w:rPr>
        <w:t xml:space="preserve"> </w:t>
      </w:r>
      <w:r w:rsidR="00EC204A">
        <w:rPr>
          <w:rFonts w:eastAsiaTheme="minorEastAsia"/>
          <w:bCs/>
        </w:rPr>
        <w:t xml:space="preserve">so that </w:t>
      </w:r>
      <w:r w:rsidR="00CE4F70">
        <w:rPr>
          <w:rFonts w:eastAsiaTheme="minorEastAsia"/>
          <w:b/>
          <w:bCs/>
          <w:i/>
        </w:rPr>
        <w:t>α</w:t>
      </w:r>
      <w:r>
        <w:rPr>
          <w:rFonts w:eastAsiaTheme="minorEastAsia"/>
          <w:b/>
          <w:bCs/>
          <w:smallCaps/>
          <w:vertAlign w:val="subscript"/>
        </w:rPr>
        <w:t xml:space="preserve"> </w:t>
      </w:r>
      <w:r w:rsidR="00BB234D">
        <w:rPr>
          <w:rFonts w:eastAsiaTheme="minorEastAsia"/>
          <w:bCs/>
        </w:rPr>
        <w:t xml:space="preserve">also </w:t>
      </w:r>
      <w:r w:rsidR="00A43223">
        <w:rPr>
          <w:bCs/>
        </w:rPr>
        <w:t>fall</w:t>
      </w:r>
      <w:r w:rsidR="00EC204A">
        <w:rPr>
          <w:bCs/>
        </w:rPr>
        <w:t>s</w:t>
      </w:r>
      <w:r w:rsidR="00A43223">
        <w:rPr>
          <w:bCs/>
        </w:rPr>
        <w:t xml:space="preserve"> </w:t>
      </w:r>
      <w:r>
        <w:rPr>
          <w:bCs/>
        </w:rPr>
        <w:t xml:space="preserve">(following </w:t>
      </w:r>
      <w:r w:rsidR="00C77C7D">
        <w:rPr>
          <w:rFonts w:eastAsiaTheme="minorEastAsia"/>
          <w:bCs/>
        </w:rPr>
        <w:fldChar w:fldCharType="begin"/>
      </w:r>
      <w:r w:rsidR="00C77C7D">
        <w:rPr>
          <w:rFonts w:eastAsiaTheme="minorEastAsia"/>
          <w:bCs/>
        </w:rPr>
        <w:instrText xml:space="preserve"> REF _Ref414356562 \h </w:instrText>
      </w:r>
      <w:r w:rsidR="00C77C7D">
        <w:rPr>
          <w:rFonts w:eastAsiaTheme="minorEastAsia"/>
          <w:bCs/>
        </w:rPr>
      </w:r>
      <w:r w:rsidR="00C77C7D">
        <w:rPr>
          <w:rFonts w:eastAsiaTheme="minorEastAsia"/>
          <w:bCs/>
        </w:rPr>
        <w:fldChar w:fldCharType="separate"/>
      </w:r>
      <w:r w:rsidR="00292438">
        <w:t>(</w:t>
      </w:r>
      <w:r w:rsidR="00292438">
        <w:rPr>
          <w:noProof/>
        </w:rPr>
        <w:t>9</w:t>
      </w:r>
      <w:r w:rsidR="00292438">
        <w:t>)</w:t>
      </w:r>
      <w:r w:rsidR="00C77C7D">
        <w:rPr>
          <w:rFonts w:eastAsiaTheme="minorEastAsia"/>
          <w:bCs/>
        </w:rPr>
        <w:fldChar w:fldCharType="end"/>
      </w:r>
      <w:r>
        <w:rPr>
          <w:rFonts w:eastAsiaTheme="minorEastAsia"/>
          <w:bCs/>
        </w:rPr>
        <w:t>)</w:t>
      </w:r>
      <w:r w:rsidR="00A43223">
        <w:rPr>
          <w:bCs/>
        </w:rPr>
        <w:t>.</w:t>
      </w:r>
      <w:r w:rsidR="002F3FF4">
        <w:rPr>
          <w:bCs/>
        </w:rPr>
        <w:t xml:space="preserve"> </w:t>
      </w:r>
      <w:r w:rsidR="00195070">
        <w:rPr>
          <w:bCs/>
        </w:rPr>
        <w:t xml:space="preserve">Falling </w:t>
      </w:r>
      <w:r w:rsidR="00195070" w:rsidRPr="00195070">
        <w:rPr>
          <w:rFonts w:eastAsiaTheme="minorEastAsia"/>
          <w:b/>
          <w:bCs/>
          <w:i/>
        </w:rPr>
        <w:t>α</w:t>
      </w:r>
      <w:r w:rsidR="00195070">
        <w:rPr>
          <w:bCs/>
        </w:rPr>
        <w:t xml:space="preserve"> </w:t>
      </w:r>
      <w:r w:rsidR="00754150">
        <w:rPr>
          <w:bCs/>
        </w:rPr>
        <w:t xml:space="preserve">also </w:t>
      </w:r>
      <w:r w:rsidR="00BB234D">
        <w:rPr>
          <w:bCs/>
        </w:rPr>
        <w:t>depress</w:t>
      </w:r>
      <w:r w:rsidR="00195070">
        <w:rPr>
          <w:bCs/>
        </w:rPr>
        <w:t>es</w:t>
      </w:r>
      <w:r w:rsidR="00BB234D">
        <w:rPr>
          <w:bCs/>
        </w:rPr>
        <w:t xml:space="preserve"> </w:t>
      </w:r>
      <w:proofErr w:type="spellStart"/>
      <w:r w:rsidR="00BB234D">
        <w:rPr>
          <w:b/>
          <w:bCs/>
        </w:rPr>
        <w:t>g</w:t>
      </w:r>
      <w:r w:rsidR="00BB234D">
        <w:rPr>
          <w:b/>
          <w:bCs/>
          <w:smallCaps/>
          <w:vertAlign w:val="subscript"/>
        </w:rPr>
        <w:t>z</w:t>
      </w:r>
      <w:proofErr w:type="spellEnd"/>
      <w:r w:rsidR="00BB234D">
        <w:rPr>
          <w:bCs/>
        </w:rPr>
        <w:t xml:space="preserve"> and </w:t>
      </w:r>
      <w:r w:rsidR="00754150">
        <w:rPr>
          <w:bCs/>
        </w:rPr>
        <w:t xml:space="preserve">likely </w:t>
      </w:r>
      <w:r w:rsidR="00BB234D">
        <w:rPr>
          <w:bCs/>
        </w:rPr>
        <w:t xml:space="preserve">the value of that </w:t>
      </w:r>
      <w:r w:rsidR="00754150">
        <w:rPr>
          <w:bCs/>
        </w:rPr>
        <w:t xml:space="preserve">capacity </w:t>
      </w:r>
      <w:r w:rsidR="00BB234D">
        <w:rPr>
          <w:bCs/>
        </w:rPr>
        <w:t xml:space="preserve">growth rate expected to prevail. </w:t>
      </w:r>
      <w:r w:rsidR="00754150">
        <w:rPr>
          <w:bCs/>
        </w:rPr>
        <w:t>Th</w:t>
      </w:r>
      <w:r w:rsidR="00BB234D">
        <w:rPr>
          <w:bCs/>
        </w:rPr>
        <w:t xml:space="preserve">ese depress </w:t>
      </w:r>
      <w:r w:rsidR="00BB234D" w:rsidRPr="00BB234D">
        <w:rPr>
          <w:rFonts w:eastAsiaTheme="minorEastAsia"/>
          <w:b/>
          <w:bCs/>
          <w:i/>
        </w:rPr>
        <w:t>α</w:t>
      </w:r>
      <w:r w:rsidR="00BB234D">
        <w:rPr>
          <w:bCs/>
        </w:rPr>
        <w:t xml:space="preserve"> and</w:t>
      </w:r>
      <w:r w:rsidR="002F3FF4">
        <w:rPr>
          <w:bCs/>
        </w:rPr>
        <w:t xml:space="preserve"> in </w:t>
      </w:r>
      <w:r w:rsidR="00A43223">
        <w:rPr>
          <w:bCs/>
        </w:rPr>
        <w:t xml:space="preserve">turn </w:t>
      </w:r>
      <w:r w:rsidR="00C77C7D">
        <w:rPr>
          <w:bCs/>
        </w:rPr>
        <w:t xml:space="preserve">causes </w:t>
      </w:r>
      <w:r w:rsidR="00C77C7D">
        <w:rPr>
          <w:b/>
          <w:bCs/>
          <w:i/>
        </w:rPr>
        <w:t>y</w:t>
      </w:r>
      <w:r w:rsidR="00C77C7D">
        <w:rPr>
          <w:bCs/>
        </w:rPr>
        <w:t xml:space="preserve"> to fall</w:t>
      </w:r>
      <w:r w:rsidR="00592636">
        <w:rPr>
          <w:bCs/>
        </w:rPr>
        <w:t xml:space="preserve">, but then it is possible that a new </w:t>
      </w:r>
      <w:r w:rsidR="00592636">
        <w:rPr>
          <w:b/>
          <w:bCs/>
        </w:rPr>
        <w:t>g</w:t>
      </w:r>
      <w:r w:rsidR="00592636">
        <w:rPr>
          <w:bCs/>
        </w:rPr>
        <w:t xml:space="preserve"> = </w:t>
      </w:r>
      <w:proofErr w:type="spellStart"/>
      <w:r w:rsidR="00592636">
        <w:rPr>
          <w:b/>
          <w:bCs/>
        </w:rPr>
        <w:t>g</w:t>
      </w:r>
      <w:r w:rsidR="00592636">
        <w:rPr>
          <w:b/>
          <w:bCs/>
          <w:smallCaps/>
          <w:vertAlign w:val="subscript"/>
        </w:rPr>
        <w:t>w</w:t>
      </w:r>
      <w:proofErr w:type="spellEnd"/>
      <w:r w:rsidR="00592636">
        <w:rPr>
          <w:bCs/>
        </w:rPr>
        <w:t xml:space="preserve"> </w:t>
      </w:r>
      <w:r w:rsidR="00592636">
        <w:rPr>
          <w:bCs/>
        </w:rPr>
        <w:lastRenderedPageBreak/>
        <w:t xml:space="preserve">situation is attained with </w:t>
      </w:r>
      <w:r w:rsidR="00592636" w:rsidRPr="00592636">
        <w:rPr>
          <w:rFonts w:eastAsiaTheme="minorEastAsia"/>
          <w:b/>
          <w:bCs/>
          <w:i/>
        </w:rPr>
        <w:t>α</w:t>
      </w:r>
      <w:r w:rsidR="00592636">
        <w:rPr>
          <w:bCs/>
        </w:rPr>
        <w:t xml:space="preserve"> equal to the new value of </w:t>
      </w:r>
      <w:proofErr w:type="spellStart"/>
      <w:r w:rsidR="00592636">
        <w:rPr>
          <w:b/>
          <w:bCs/>
          <w:i/>
        </w:rPr>
        <w:t>s</w:t>
      </w:r>
      <w:r w:rsidR="00592636">
        <w:rPr>
          <w:bCs/>
        </w:rPr>
        <w:t>·</w:t>
      </w:r>
      <w:r w:rsidR="00592636">
        <w:rPr>
          <w:b/>
          <w:bCs/>
          <w:i/>
        </w:rPr>
        <w:t>y</w:t>
      </w:r>
      <w:proofErr w:type="spellEnd"/>
      <w:r w:rsidR="00592636">
        <w:rPr>
          <w:bCs/>
        </w:rPr>
        <w:t xml:space="preserve"> with </w:t>
      </w:r>
      <w:r w:rsidR="00592636">
        <w:rPr>
          <w:b/>
          <w:bCs/>
          <w:i/>
        </w:rPr>
        <w:t>y</w:t>
      </w:r>
      <w:r w:rsidR="00592636">
        <w:rPr>
          <w:bCs/>
        </w:rPr>
        <w:t xml:space="preserve"> &lt; </w:t>
      </w:r>
      <w:proofErr w:type="spellStart"/>
      <w:r w:rsidR="00592636">
        <w:rPr>
          <w:b/>
          <w:bCs/>
          <w:i/>
        </w:rPr>
        <w:t>y</w:t>
      </w:r>
      <w:r w:rsidR="00592636">
        <w:rPr>
          <w:b/>
          <w:bCs/>
          <w:smallCaps/>
          <w:vertAlign w:val="subscript"/>
        </w:rPr>
        <w:t>A</w:t>
      </w:r>
      <w:proofErr w:type="spellEnd"/>
      <w:r w:rsidR="002F3FF4">
        <w:rPr>
          <w:bCs/>
        </w:rPr>
        <w:t>.</w:t>
      </w:r>
      <w:r w:rsidR="0073428F">
        <w:rPr>
          <w:bCs/>
        </w:rPr>
        <w:t xml:space="preserve"> </w:t>
      </w:r>
      <w:r w:rsidR="00592636">
        <w:rPr>
          <w:bCs/>
        </w:rPr>
        <w:t>That is</w:t>
      </w:r>
      <w:r w:rsidR="009E2C42">
        <w:rPr>
          <w:bCs/>
        </w:rPr>
        <w:t xml:space="preserve">, </w:t>
      </w:r>
      <w:r w:rsidR="00592636">
        <w:rPr>
          <w:bCs/>
        </w:rPr>
        <w:t xml:space="preserve">the </w:t>
      </w:r>
      <w:r w:rsidR="00EC204A">
        <w:rPr>
          <w:bCs/>
        </w:rPr>
        <w:t>equality b</w:t>
      </w:r>
      <w:r w:rsidR="00EC204A">
        <w:rPr>
          <w:bCs/>
        </w:rPr>
        <w:t>e</w:t>
      </w:r>
      <w:r w:rsidR="00EC204A">
        <w:rPr>
          <w:bCs/>
        </w:rPr>
        <w:t xml:space="preserve">tween </w:t>
      </w:r>
      <w:r w:rsidR="00CE4F70">
        <w:rPr>
          <w:rFonts w:eastAsiaTheme="minorEastAsia"/>
          <w:b/>
          <w:bCs/>
          <w:i/>
        </w:rPr>
        <w:t>α</w:t>
      </w:r>
      <w:r w:rsidR="00EC204A">
        <w:rPr>
          <w:rFonts w:eastAsiaTheme="minorEastAsia"/>
          <w:bCs/>
        </w:rPr>
        <w:t>/</w:t>
      </w:r>
      <w:r w:rsidR="00EC204A">
        <w:rPr>
          <w:rFonts w:eastAsiaTheme="minorEastAsia"/>
          <w:b/>
          <w:bCs/>
          <w:i/>
        </w:rPr>
        <w:t>y</w:t>
      </w:r>
      <w:r w:rsidR="00EC204A">
        <w:rPr>
          <w:rFonts w:eastAsiaTheme="minorEastAsia"/>
          <w:bCs/>
        </w:rPr>
        <w:t xml:space="preserve"> and </w:t>
      </w:r>
      <w:r w:rsidR="00EC204A">
        <w:rPr>
          <w:rFonts w:eastAsiaTheme="minorEastAsia"/>
          <w:b/>
          <w:bCs/>
          <w:i/>
        </w:rPr>
        <w:t>s</w:t>
      </w:r>
      <w:r w:rsidR="00592636">
        <w:rPr>
          <w:rFonts w:eastAsiaTheme="minorEastAsia"/>
          <w:bCs/>
        </w:rPr>
        <w:t xml:space="preserve"> is maintained</w:t>
      </w:r>
      <w:r w:rsidR="00C77C7D">
        <w:rPr>
          <w:bCs/>
        </w:rPr>
        <w:t>.</w:t>
      </w:r>
      <w:r w:rsidR="00592636">
        <w:rPr>
          <w:bCs/>
        </w:rPr>
        <w:t xml:space="preserve"> But this is again a merely transitory equilibrium so that t</w:t>
      </w:r>
      <w:r w:rsidR="00EC204A">
        <w:rPr>
          <w:bCs/>
        </w:rPr>
        <w:t>his pr</w:t>
      </w:r>
      <w:r w:rsidR="00EC204A">
        <w:rPr>
          <w:bCs/>
        </w:rPr>
        <w:t>o</w:t>
      </w:r>
      <w:r w:rsidR="00EC204A">
        <w:rPr>
          <w:bCs/>
        </w:rPr>
        <w:t>cess continues</w:t>
      </w:r>
      <w:r w:rsidR="007F1B90">
        <w:rPr>
          <w:bCs/>
        </w:rPr>
        <w:t xml:space="preserve">. Thus, </w:t>
      </w:r>
      <w:r w:rsidR="00EC204A">
        <w:rPr>
          <w:bCs/>
        </w:rPr>
        <w:t xml:space="preserve">the economy </w:t>
      </w:r>
      <w:r>
        <w:rPr>
          <w:bCs/>
        </w:rPr>
        <w:t>im</w:t>
      </w:r>
      <w:r w:rsidR="00EC204A">
        <w:rPr>
          <w:bCs/>
        </w:rPr>
        <w:t xml:space="preserve">plodes. </w:t>
      </w:r>
    </w:p>
    <w:p w:rsidR="00C66522" w:rsidRDefault="0093225D" w:rsidP="007E6DAA">
      <w:pPr>
        <w:spacing w:line="240" w:lineRule="auto"/>
        <w:rPr>
          <w:bCs/>
        </w:rPr>
      </w:pPr>
      <w:r>
        <w:rPr>
          <w:bCs/>
        </w:rPr>
        <w:t xml:space="preserve">The only lower limit in Harrod’s model is with zero real GDP. </w:t>
      </w:r>
      <w:r w:rsidR="00EC204A">
        <w:rPr>
          <w:bCs/>
        </w:rPr>
        <w:t>It is possible</w:t>
      </w:r>
      <w:r w:rsidR="007F1B90">
        <w:rPr>
          <w:bCs/>
        </w:rPr>
        <w:t>, however,</w:t>
      </w:r>
      <w:r w:rsidR="00EC204A">
        <w:rPr>
          <w:bCs/>
        </w:rPr>
        <w:t xml:space="preserve"> for </w:t>
      </w:r>
      <w:r w:rsidR="000108B0">
        <w:rPr>
          <w:bCs/>
        </w:rPr>
        <w:t>this</w:t>
      </w:r>
      <w:r w:rsidR="00B71607" w:rsidRPr="00B71607">
        <w:rPr>
          <w:bCs/>
        </w:rPr>
        <w:t xml:space="preserve"> </w:t>
      </w:r>
      <w:r w:rsidR="00C66522">
        <w:rPr>
          <w:bCs/>
        </w:rPr>
        <w:t>“centrifugal”</w:t>
      </w:r>
      <w:r w:rsidR="00B71607" w:rsidRPr="00B71607">
        <w:rPr>
          <w:bCs/>
        </w:rPr>
        <w:t xml:space="preserve"> </w:t>
      </w:r>
      <w:r w:rsidR="00C66522">
        <w:rPr>
          <w:bCs/>
        </w:rPr>
        <w:t>movement</w:t>
      </w:r>
      <w:r w:rsidR="00B71607" w:rsidRPr="00B71607">
        <w:rPr>
          <w:bCs/>
        </w:rPr>
        <w:t xml:space="preserve"> </w:t>
      </w:r>
      <w:r w:rsidR="00EC204A">
        <w:rPr>
          <w:bCs/>
        </w:rPr>
        <w:t xml:space="preserve">to </w:t>
      </w:r>
      <w:r w:rsidR="00C66522">
        <w:rPr>
          <w:bCs/>
        </w:rPr>
        <w:t>be</w:t>
      </w:r>
      <w:r w:rsidR="00B71607" w:rsidRPr="00B71607">
        <w:rPr>
          <w:bCs/>
        </w:rPr>
        <w:t xml:space="preserve"> </w:t>
      </w:r>
      <w:r w:rsidR="00C66522">
        <w:rPr>
          <w:bCs/>
        </w:rPr>
        <w:t>blocked</w:t>
      </w:r>
      <w:r w:rsidR="00B71607" w:rsidRPr="00B71607">
        <w:rPr>
          <w:bCs/>
        </w:rPr>
        <w:t xml:space="preserve"> </w:t>
      </w:r>
      <w:r w:rsidR="00C66522">
        <w:rPr>
          <w:bCs/>
        </w:rPr>
        <w:t>by</w:t>
      </w:r>
      <w:r w:rsidR="00B71607" w:rsidRPr="00B71607">
        <w:rPr>
          <w:bCs/>
        </w:rPr>
        <w:t xml:space="preserve"> </w:t>
      </w:r>
      <w:r w:rsidR="00C66522">
        <w:rPr>
          <w:bCs/>
        </w:rPr>
        <w:t>exogenous</w:t>
      </w:r>
      <w:r w:rsidR="00B71607" w:rsidRPr="00B71607">
        <w:rPr>
          <w:bCs/>
        </w:rPr>
        <w:t xml:space="preserve"> </w:t>
      </w:r>
      <w:r w:rsidR="00C66522">
        <w:rPr>
          <w:bCs/>
        </w:rPr>
        <w:t>changes,</w:t>
      </w:r>
      <w:r w:rsidR="00B71607" w:rsidRPr="00B71607">
        <w:rPr>
          <w:bCs/>
        </w:rPr>
        <w:t xml:space="preserve"> </w:t>
      </w:r>
      <w:r w:rsidR="00C66522">
        <w:rPr>
          <w:bCs/>
        </w:rPr>
        <w:t>such</w:t>
      </w:r>
      <w:r w:rsidR="00B71607" w:rsidRPr="00B71607">
        <w:rPr>
          <w:bCs/>
        </w:rPr>
        <w:t xml:space="preserve"> </w:t>
      </w:r>
      <w:r w:rsidR="00C66522">
        <w:rPr>
          <w:bCs/>
        </w:rPr>
        <w:t>as</w:t>
      </w:r>
      <w:r w:rsidR="00B71607" w:rsidRPr="00B71607">
        <w:rPr>
          <w:bCs/>
        </w:rPr>
        <w:t xml:space="preserve"> </w:t>
      </w:r>
      <w:r w:rsidR="00C66522">
        <w:rPr>
          <w:bCs/>
        </w:rPr>
        <w:t>those</w:t>
      </w:r>
      <w:r w:rsidR="00B71607" w:rsidRPr="00B71607">
        <w:rPr>
          <w:bCs/>
        </w:rPr>
        <w:t xml:space="preserve"> </w:t>
      </w:r>
      <w:r w:rsidR="00C66522">
        <w:rPr>
          <w:bCs/>
        </w:rPr>
        <w:t>d</w:t>
      </w:r>
      <w:r w:rsidR="00AF60E5">
        <w:rPr>
          <w:bCs/>
        </w:rPr>
        <w:t>ue</w:t>
      </w:r>
      <w:r w:rsidR="00B71607" w:rsidRPr="00B71607">
        <w:rPr>
          <w:bCs/>
        </w:rPr>
        <w:t xml:space="preserve"> </w:t>
      </w:r>
      <w:r w:rsidR="00AF60E5">
        <w:rPr>
          <w:bCs/>
        </w:rPr>
        <w:t>to</w:t>
      </w:r>
      <w:r w:rsidR="00B71607" w:rsidRPr="00B71607">
        <w:rPr>
          <w:bCs/>
        </w:rPr>
        <w:t xml:space="preserve"> </w:t>
      </w:r>
      <w:r w:rsidR="00AF60E5">
        <w:rPr>
          <w:bCs/>
        </w:rPr>
        <w:t>Keynesian</w:t>
      </w:r>
      <w:r w:rsidR="00B71607" w:rsidRPr="00B71607">
        <w:rPr>
          <w:bCs/>
        </w:rPr>
        <w:t xml:space="preserve"> </w:t>
      </w:r>
      <w:r w:rsidR="00AF60E5">
        <w:rPr>
          <w:bCs/>
        </w:rPr>
        <w:t>“animal</w:t>
      </w:r>
      <w:r w:rsidR="00B71607" w:rsidRPr="00B71607">
        <w:rPr>
          <w:bCs/>
        </w:rPr>
        <w:t xml:space="preserve"> </w:t>
      </w:r>
      <w:r w:rsidR="00AF60E5">
        <w:rPr>
          <w:bCs/>
        </w:rPr>
        <w:t>spirits</w:t>
      </w:r>
      <w:r w:rsidR="00C66522">
        <w:rPr>
          <w:bCs/>
        </w:rPr>
        <w:t>”</w:t>
      </w:r>
      <w:r w:rsidR="00B71607" w:rsidRPr="00B71607">
        <w:rPr>
          <w:bCs/>
        </w:rPr>
        <w:t xml:space="preserve"> </w:t>
      </w:r>
      <w:r w:rsidR="00BC42B1">
        <w:rPr>
          <w:bCs/>
        </w:rPr>
        <w:t>(</w:t>
      </w:r>
      <w:r w:rsidR="00592636">
        <w:rPr>
          <w:bCs/>
        </w:rPr>
        <w:t xml:space="preserve">either </w:t>
      </w:r>
      <w:r w:rsidR="00BC42B1">
        <w:rPr>
          <w:bCs/>
        </w:rPr>
        <w:t xml:space="preserve">raising </w:t>
      </w:r>
      <w:r w:rsidR="00592636" w:rsidRPr="00592636">
        <w:rPr>
          <w:rFonts w:ascii="Times New Roman" w:eastAsiaTheme="minorEastAsia" w:hAnsi="Times New Roman"/>
          <w:b/>
          <w:bCs/>
          <w:i/>
          <w:szCs w:val="24"/>
        </w:rPr>
        <w:t>ε</w:t>
      </w:r>
      <w:r w:rsidR="00592636">
        <w:rPr>
          <w:bCs/>
        </w:rPr>
        <w:t xml:space="preserve"> and</w:t>
      </w:r>
      <w:r w:rsidR="00592636">
        <w:rPr>
          <w:bCs/>
        </w:rPr>
        <w:t xml:space="preserve">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592636">
        <w:rPr>
          <w:rFonts w:eastAsiaTheme="minorEastAsia"/>
          <w:bCs/>
        </w:rPr>
        <w:t xml:space="preserve"> </w:t>
      </w:r>
      <w:r w:rsidR="00592636">
        <w:rPr>
          <w:rFonts w:eastAsiaTheme="minorEastAsia"/>
          <w:bCs/>
        </w:rPr>
        <w:t xml:space="preserve">or </w:t>
      </w:r>
      <w:r w:rsidR="00BC42B1">
        <w:rPr>
          <w:bCs/>
        </w:rPr>
        <w:t xml:space="preserve">the expected </w:t>
      </w:r>
      <w:proofErr w:type="spellStart"/>
      <w:r w:rsidR="00BC42B1">
        <w:rPr>
          <w:b/>
          <w:bCs/>
        </w:rPr>
        <w:t>g</w:t>
      </w:r>
      <w:r w:rsidR="00BC42B1">
        <w:rPr>
          <w:b/>
          <w:bCs/>
          <w:smallCaps/>
          <w:vertAlign w:val="subscript"/>
        </w:rPr>
        <w:t>z</w:t>
      </w:r>
      <w:proofErr w:type="spellEnd"/>
      <w:r w:rsidR="00BC42B1">
        <w:rPr>
          <w:bCs/>
        </w:rPr>
        <w:t xml:space="preserve">), </w:t>
      </w:r>
      <w:r w:rsidR="00995232">
        <w:rPr>
          <w:bCs/>
        </w:rPr>
        <w:t>de</w:t>
      </w:r>
      <w:r w:rsidR="00AF60E5">
        <w:rPr>
          <w:bCs/>
        </w:rPr>
        <w:t>creases</w:t>
      </w:r>
      <w:r w:rsidR="00B71607" w:rsidRPr="00B71607">
        <w:rPr>
          <w:bCs/>
        </w:rPr>
        <w:t xml:space="preserve"> </w:t>
      </w:r>
      <w:r w:rsidR="00AF60E5">
        <w:rPr>
          <w:bCs/>
        </w:rPr>
        <w:t>in</w:t>
      </w:r>
      <w:r w:rsidR="00B71607" w:rsidRPr="00B71607">
        <w:rPr>
          <w:bCs/>
        </w:rPr>
        <w:t xml:space="preserve"> </w:t>
      </w:r>
      <w:r w:rsidR="00AF60E5">
        <w:rPr>
          <w:bCs/>
        </w:rPr>
        <w:t>interest</w:t>
      </w:r>
      <w:r w:rsidR="00B71607" w:rsidRPr="00B71607">
        <w:rPr>
          <w:bCs/>
        </w:rPr>
        <w:t xml:space="preserve"> </w:t>
      </w:r>
      <w:r w:rsidR="00AF60E5">
        <w:rPr>
          <w:bCs/>
        </w:rPr>
        <w:t>rates</w:t>
      </w:r>
      <w:r w:rsidR="00FC212D">
        <w:rPr>
          <w:bCs/>
        </w:rPr>
        <w:t>,</w:t>
      </w:r>
      <w:r w:rsidR="00B71607" w:rsidRPr="00B71607">
        <w:rPr>
          <w:bCs/>
        </w:rPr>
        <w:t xml:space="preserve"> </w:t>
      </w:r>
      <w:r w:rsidR="00FC212D">
        <w:rPr>
          <w:bCs/>
        </w:rPr>
        <w:t>expansionary</w:t>
      </w:r>
      <w:r w:rsidR="00B71607" w:rsidRPr="00B71607">
        <w:rPr>
          <w:bCs/>
        </w:rPr>
        <w:t xml:space="preserve"> </w:t>
      </w:r>
      <w:r w:rsidR="00FC212D">
        <w:rPr>
          <w:bCs/>
        </w:rPr>
        <w:t>fiscal</w:t>
      </w:r>
      <w:r w:rsidR="00B71607" w:rsidRPr="00B71607">
        <w:rPr>
          <w:bCs/>
        </w:rPr>
        <w:t xml:space="preserve"> </w:t>
      </w:r>
      <w:r w:rsidR="00FC212D">
        <w:rPr>
          <w:bCs/>
        </w:rPr>
        <w:t>policy</w:t>
      </w:r>
      <w:r w:rsidR="00BC42B1">
        <w:rPr>
          <w:bCs/>
        </w:rPr>
        <w:t>, or an exogenous export boom</w:t>
      </w:r>
      <w:r w:rsidR="00AF60E5">
        <w:rPr>
          <w:bCs/>
        </w:rPr>
        <w:t>.</w:t>
      </w:r>
      <w:r w:rsidR="00B71607" w:rsidRPr="00B71607">
        <w:rPr>
          <w:bCs/>
        </w:rPr>
        <w:t xml:space="preserve"> </w:t>
      </w:r>
      <w:r w:rsidR="00EC204A">
        <w:rPr>
          <w:bCs/>
        </w:rPr>
        <w:t>But th</w:t>
      </w:r>
      <w:r w:rsidR="007F1B90">
        <w:rPr>
          <w:bCs/>
        </w:rPr>
        <w:t>e</w:t>
      </w:r>
      <w:r w:rsidR="00EC204A">
        <w:rPr>
          <w:bCs/>
        </w:rPr>
        <w:t xml:space="preserve"> automatic mov</w:t>
      </w:r>
      <w:r w:rsidR="00EC204A">
        <w:rPr>
          <w:bCs/>
        </w:rPr>
        <w:t>e</w:t>
      </w:r>
      <w:r w:rsidR="00EC204A">
        <w:rPr>
          <w:bCs/>
        </w:rPr>
        <w:t xml:space="preserve">ment </w:t>
      </w:r>
      <w:r w:rsidR="007F1B90">
        <w:rPr>
          <w:bCs/>
        </w:rPr>
        <w:t xml:space="preserve">limned above </w:t>
      </w:r>
      <w:r w:rsidR="00EC204A">
        <w:rPr>
          <w:bCs/>
        </w:rPr>
        <w:t xml:space="preserve">describes the “normal” </w:t>
      </w:r>
      <w:r w:rsidR="00BC42B1">
        <w:rPr>
          <w:bCs/>
        </w:rPr>
        <w:t xml:space="preserve">or endogenous </w:t>
      </w:r>
      <w:r w:rsidR="00EC204A">
        <w:rPr>
          <w:bCs/>
        </w:rPr>
        <w:t>downward movement away from Ha</w:t>
      </w:r>
      <w:r w:rsidR="00EC204A">
        <w:rPr>
          <w:bCs/>
        </w:rPr>
        <w:t>r</w:t>
      </w:r>
      <w:r w:rsidR="00EC204A">
        <w:rPr>
          <w:bCs/>
        </w:rPr>
        <w:t>rod’s knife-edge</w:t>
      </w:r>
      <w:r w:rsidR="007F1B90">
        <w:rPr>
          <w:bCs/>
        </w:rPr>
        <w:t xml:space="preserve"> moving equilibrium</w:t>
      </w:r>
      <w:r w:rsidR="00EC204A">
        <w:rPr>
          <w:bCs/>
        </w:rPr>
        <w:t xml:space="preserve">. </w:t>
      </w:r>
      <w:r w:rsidR="004F3699">
        <w:rPr>
          <w:rFonts w:eastAsiaTheme="minorEastAsia"/>
        </w:rPr>
        <w:t>Not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surprisingly,</w:t>
      </w:r>
      <w:r w:rsidR="004F3699" w:rsidRPr="00B71607">
        <w:rPr>
          <w:rFonts w:eastAsiaTheme="minorEastAsia"/>
        </w:rPr>
        <w:t xml:space="preserve"> </w:t>
      </w:r>
      <w:r w:rsidR="004F3699" w:rsidRPr="00D4213A">
        <w:rPr>
          <w:rFonts w:eastAsiaTheme="minorEastAsia"/>
          <w:noProof/>
        </w:rPr>
        <w:t>Harrod’s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  <w:color w:val="000000"/>
        </w:rPr>
        <w:t>story</w:t>
      </w:r>
      <w:r w:rsidR="004F3699" w:rsidRPr="00B71607">
        <w:rPr>
          <w:rFonts w:eastAsiaTheme="minorEastAsia"/>
          <w:color w:val="000000"/>
        </w:rPr>
        <w:t xml:space="preserve"> </w:t>
      </w:r>
      <w:r w:rsidR="004F3699" w:rsidRPr="005C5434">
        <w:rPr>
          <w:rFonts w:eastAsiaTheme="minorEastAsia"/>
          <w:color w:val="000000"/>
        </w:rPr>
        <w:t>ignor</w:t>
      </w:r>
      <w:r w:rsidR="004F3699">
        <w:rPr>
          <w:rFonts w:eastAsiaTheme="minorEastAsia"/>
          <w:color w:val="000000"/>
        </w:rPr>
        <w:t>ed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the</w:t>
      </w:r>
      <w:r w:rsidR="004F3699" w:rsidRPr="00B71607">
        <w:rPr>
          <w:rFonts w:eastAsiaTheme="minorEastAsia"/>
          <w:color w:val="000000"/>
        </w:rPr>
        <w:t xml:space="preserve"> </w:t>
      </w:r>
      <w:r w:rsidR="00592636">
        <w:rPr>
          <w:rFonts w:eastAsiaTheme="minorEastAsia"/>
          <w:color w:val="000000"/>
        </w:rPr>
        <w:t xml:space="preserve">endogenous </w:t>
      </w:r>
      <w:r w:rsidR="004F3699">
        <w:rPr>
          <w:rFonts w:eastAsiaTheme="minorEastAsia"/>
          <w:color w:val="000000"/>
        </w:rPr>
        <w:t>“</w:t>
      </w:r>
      <w:r w:rsidR="009411E5">
        <w:rPr>
          <w:rFonts w:eastAsiaTheme="minorEastAsia"/>
          <w:color w:val="000000"/>
        </w:rPr>
        <w:t>floors</w:t>
      </w:r>
      <w:r w:rsidR="004F3699">
        <w:rPr>
          <w:rFonts w:eastAsiaTheme="minorEastAsia"/>
          <w:color w:val="000000"/>
        </w:rPr>
        <w:t>”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on</w:t>
      </w:r>
      <w:r w:rsidR="004F3699" w:rsidRPr="00B71607">
        <w:rPr>
          <w:rFonts w:eastAsiaTheme="minorEastAsia"/>
          <w:color w:val="000000"/>
        </w:rPr>
        <w:t xml:space="preserve"> </w:t>
      </w:r>
      <w:r w:rsidR="009411E5">
        <w:rPr>
          <w:rFonts w:eastAsiaTheme="minorEastAsia"/>
          <w:color w:val="000000"/>
        </w:rPr>
        <w:t xml:space="preserve">the value of </w:t>
      </w:r>
      <w:r w:rsidR="004F3699">
        <w:rPr>
          <w:rFonts w:eastAsiaTheme="minorEastAsia"/>
          <w:b/>
          <w:color w:val="000000"/>
        </w:rPr>
        <w:t>g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of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the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sort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later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discussed</w:t>
      </w:r>
      <w:r w:rsidR="004F3699" w:rsidRPr="00B71607">
        <w:rPr>
          <w:rFonts w:eastAsiaTheme="minorEastAsia"/>
          <w:color w:val="000000"/>
        </w:rPr>
        <w:t xml:space="preserve"> </w:t>
      </w:r>
      <w:r w:rsidR="004F3699">
        <w:rPr>
          <w:rFonts w:eastAsiaTheme="minorEastAsia"/>
          <w:color w:val="000000"/>
        </w:rPr>
        <w:t>by</w:t>
      </w:r>
      <w:r w:rsidR="004F3699" w:rsidRPr="00B71607">
        <w:rPr>
          <w:rFonts w:eastAsiaTheme="minorEastAsia"/>
          <w:color w:val="000000"/>
        </w:rPr>
        <w:t xml:space="preserve"> </w:t>
      </w:r>
      <w:r w:rsidR="004F3699" w:rsidRPr="005C5434">
        <w:rPr>
          <w:rFonts w:eastAsiaTheme="minorEastAsia"/>
          <w:color w:val="000000"/>
        </w:rPr>
        <w:t>Hicks</w:t>
      </w:r>
      <w:r w:rsidR="004F3699" w:rsidRPr="00B71607">
        <w:rPr>
          <w:rFonts w:eastAsiaTheme="minorEastAsia"/>
          <w:color w:val="000000"/>
        </w:rPr>
        <w:t xml:space="preserve"> </w:t>
      </w:r>
      <w:r w:rsidR="004F3699" w:rsidRPr="005C5434">
        <w:rPr>
          <w:rFonts w:eastAsiaTheme="minorEastAsia"/>
          <w:color w:val="000000"/>
        </w:rPr>
        <w:t>(19</w:t>
      </w:r>
      <w:r w:rsidR="004F3699">
        <w:rPr>
          <w:rFonts w:eastAsiaTheme="minorEastAsia"/>
          <w:color w:val="000000"/>
        </w:rPr>
        <w:t>49</w:t>
      </w:r>
      <w:r w:rsidR="004F3699" w:rsidRPr="005C5434">
        <w:rPr>
          <w:rFonts w:eastAsiaTheme="minorEastAsia"/>
          <w:color w:val="000000"/>
        </w:rPr>
        <w:t>)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along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with</w:t>
      </w:r>
      <w:r w:rsidR="004F3699" w:rsidRPr="00B71607">
        <w:rPr>
          <w:rFonts w:eastAsiaTheme="minorEastAsia"/>
        </w:rPr>
        <w:t xml:space="preserve"> </w:t>
      </w:r>
      <w:r w:rsidR="00460E86">
        <w:rPr>
          <w:rFonts w:eastAsiaTheme="minorEastAsia"/>
        </w:rPr>
        <w:t xml:space="preserve">the role of </w:t>
      </w:r>
      <w:r w:rsidR="004F3699">
        <w:rPr>
          <w:rFonts w:eastAsiaTheme="minorEastAsia"/>
        </w:rPr>
        <w:t>automatic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stabilization</w:t>
      </w:r>
      <w:r w:rsidR="00460E86">
        <w:rPr>
          <w:rFonts w:eastAsiaTheme="minorEastAsia"/>
        </w:rPr>
        <w:t xml:space="preserve"> due to variations in the government budget and the like</w:t>
      </w:r>
      <w:r w:rsidR="004F3699">
        <w:rPr>
          <w:rFonts w:eastAsiaTheme="minorEastAsia"/>
        </w:rPr>
        <w:t>.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In a more complete analysis, these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should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play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a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role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in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understanding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the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results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of</w:t>
      </w:r>
      <w:r w:rsidR="004F3699" w:rsidRPr="00B71607">
        <w:rPr>
          <w:rFonts w:eastAsiaTheme="minorEastAsia"/>
        </w:rPr>
        <w:t xml:space="preserve"> </w:t>
      </w:r>
      <w:r w:rsidR="00520D21">
        <w:rPr>
          <w:rFonts w:eastAsiaTheme="minorEastAsia"/>
        </w:rPr>
        <w:t xml:space="preserve">falling below the </w:t>
      </w:r>
      <w:r w:rsidR="004F3699">
        <w:rPr>
          <w:rFonts w:eastAsiaTheme="minorEastAsia"/>
        </w:rPr>
        <w:t>warran</w:t>
      </w:r>
      <w:r w:rsidR="004F3699">
        <w:rPr>
          <w:rFonts w:eastAsiaTheme="minorEastAsia"/>
        </w:rPr>
        <w:t>t</w:t>
      </w:r>
      <w:r w:rsidR="004F3699">
        <w:rPr>
          <w:rFonts w:eastAsiaTheme="minorEastAsia"/>
        </w:rPr>
        <w:t>ed</w:t>
      </w:r>
      <w:r w:rsidR="004F3699" w:rsidRPr="00B71607">
        <w:rPr>
          <w:rFonts w:eastAsiaTheme="minorEastAsia"/>
        </w:rPr>
        <w:t xml:space="preserve"> </w:t>
      </w:r>
      <w:r w:rsidR="004F3699">
        <w:rPr>
          <w:rFonts w:eastAsiaTheme="minorEastAsia"/>
        </w:rPr>
        <w:t>growth</w:t>
      </w:r>
      <w:r w:rsidR="00520D21">
        <w:rPr>
          <w:rFonts w:eastAsiaTheme="minorEastAsia"/>
        </w:rPr>
        <w:t xml:space="preserve"> path</w:t>
      </w:r>
      <w:r w:rsidR="004F3699">
        <w:rPr>
          <w:rFonts w:eastAsiaTheme="minorEastAsia"/>
        </w:rPr>
        <w:t>.</w:t>
      </w:r>
    </w:p>
    <w:p w:rsidR="003C0786" w:rsidRDefault="00191B04" w:rsidP="00666531">
      <w:pPr>
        <w:spacing w:line="240" w:lineRule="auto"/>
        <w:rPr>
          <w:rFonts w:eastAsiaTheme="minorEastAsia"/>
          <w:bCs/>
          <w:color w:val="000000"/>
        </w:rPr>
      </w:pPr>
      <w:r>
        <w:rPr>
          <w:bCs/>
        </w:rPr>
        <w:t xml:space="preserve">For </w:t>
      </w:r>
      <w:r w:rsidR="00BB234D">
        <w:rPr>
          <w:bCs/>
        </w:rPr>
        <w:t>the second case</w:t>
      </w:r>
      <w:r w:rsidR="004901C7">
        <w:rPr>
          <w:bCs/>
        </w:rPr>
        <w:t xml:space="preserve"> (</w:t>
      </w:r>
      <w:r w:rsidR="00862F91">
        <w:rPr>
          <w:bCs/>
        </w:rPr>
        <w:t xml:space="preserve">point </w:t>
      </w:r>
      <w:r w:rsidR="00862F91">
        <w:rPr>
          <w:b/>
          <w:bCs/>
        </w:rPr>
        <w:t>B</w:t>
      </w:r>
      <w:r w:rsidR="00862F91">
        <w:rPr>
          <w:bCs/>
        </w:rPr>
        <w:t xml:space="preserve"> with </w:t>
      </w:r>
      <w:r w:rsidR="004901C7">
        <w:rPr>
          <w:bCs/>
        </w:rPr>
        <w:t>high capacity use)</w:t>
      </w:r>
      <w:r w:rsidR="00BB234D">
        <w:rPr>
          <w:bCs/>
        </w:rPr>
        <w:t>, j</w:t>
      </w:r>
      <w:r w:rsidR="0056593E">
        <w:rPr>
          <w:bCs/>
        </w:rPr>
        <w:t>ump to step (b)</w:t>
      </w:r>
      <w:r w:rsidR="00BB234D">
        <w:rPr>
          <w:bCs/>
        </w:rPr>
        <w:t xml:space="preserve">. If </w:t>
      </w:r>
      <w:r w:rsidR="00C64DD2">
        <w:rPr>
          <w:bCs/>
        </w:rPr>
        <w:t xml:space="preserve">the economy starts with </w:t>
      </w:r>
      <w:proofErr w:type="spellStart"/>
      <w:r w:rsidR="003F1BC8">
        <w:rPr>
          <w:b/>
          <w:bCs/>
          <w:i/>
        </w:rPr>
        <w:t>y</w:t>
      </w:r>
      <w:r w:rsidR="00C64DD2">
        <w:rPr>
          <w:b/>
          <w:bCs/>
          <w:smallCaps/>
          <w:vertAlign w:val="subscript"/>
        </w:rPr>
        <w:t>B</w:t>
      </w:r>
      <w:proofErr w:type="spellEnd"/>
      <w:r w:rsidR="00AA4684">
        <w:rPr>
          <w:bCs/>
        </w:rPr>
        <w:t>,</w:t>
      </w:r>
      <w:r w:rsidR="00C64DD2">
        <w:rPr>
          <w:bCs/>
        </w:rPr>
        <w:t xml:space="preserve"> e</w:t>
      </w:r>
      <w:r w:rsidR="00C64DD2">
        <w:rPr>
          <w:bCs/>
        </w:rPr>
        <w:t>x</w:t>
      </w:r>
      <w:r w:rsidR="00C64DD2">
        <w:rPr>
          <w:bCs/>
        </w:rPr>
        <w:t>pectations and investment behavior imply that</w:t>
      </w:r>
      <w:r w:rsidR="00B71607" w:rsidRPr="00B71607">
        <w:rPr>
          <w:bCs/>
        </w:rPr>
        <w:t xml:space="preserve"> </w:t>
      </w:r>
      <w:r>
        <w:rPr>
          <w:bCs/>
        </w:rPr>
        <w:t xml:space="preserve">both </w:t>
      </w:r>
      <m:oMath>
        <m:acc>
          <m:accPr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B71607" w:rsidRPr="00B71607">
        <w:rPr>
          <w:rFonts w:eastAsiaTheme="minorEastAsia"/>
          <w:bCs/>
        </w:rPr>
        <w:t xml:space="preserve"> </w:t>
      </w:r>
      <w:r w:rsidR="00EF547E">
        <w:rPr>
          <w:bCs/>
        </w:rPr>
        <w:t>and</w:t>
      </w:r>
      <w:r w:rsidR="00B71607" w:rsidRPr="00B71607">
        <w:rPr>
          <w:bCs/>
        </w:rPr>
        <w:t xml:space="preserve"> </w:t>
      </w:r>
      <w:r>
        <w:rPr>
          <w:bCs/>
        </w:rPr>
        <w:t xml:space="preserve">the expected value of </w:t>
      </w:r>
      <w:proofErr w:type="spellStart"/>
      <w:r>
        <w:rPr>
          <w:b/>
          <w:bCs/>
        </w:rPr>
        <w:t>g</w:t>
      </w:r>
      <w:r>
        <w:rPr>
          <w:b/>
          <w:bCs/>
          <w:smallCaps/>
          <w:vertAlign w:val="subscript"/>
        </w:rPr>
        <w:t>z</w:t>
      </w:r>
      <w:proofErr w:type="spellEnd"/>
      <w:r>
        <w:rPr>
          <w:bCs/>
        </w:rPr>
        <w:t xml:space="preserve"> </w:t>
      </w:r>
      <w:r w:rsidR="00C64DD2">
        <w:rPr>
          <w:bCs/>
        </w:rPr>
        <w:t>rise</w:t>
      </w:r>
      <w:r w:rsidR="00AA4684">
        <w:rPr>
          <w:bCs/>
        </w:rPr>
        <w:t>.</w:t>
      </w:r>
      <w:r w:rsidR="00B71607" w:rsidRPr="00B71607">
        <w:rPr>
          <w:bCs/>
        </w:rPr>
        <w:t xml:space="preserve"> </w:t>
      </w:r>
      <w:r w:rsidR="008E3D57">
        <w:rPr>
          <w:bCs/>
        </w:rPr>
        <w:t>So</w:t>
      </w:r>
      <w:r w:rsidR="00B71607" w:rsidRPr="00B71607">
        <w:rPr>
          <w:bCs/>
        </w:rPr>
        <w:t xml:space="preserve"> </w:t>
      </w:r>
      <w:r w:rsidRPr="00191B04">
        <w:rPr>
          <w:rFonts w:eastAsiaTheme="minorEastAsia"/>
          <w:b/>
          <w:bCs/>
          <w:i/>
        </w:rPr>
        <w:t>α</w:t>
      </w:r>
      <w:r>
        <w:rPr>
          <w:bCs/>
        </w:rPr>
        <w:t xml:space="preserve"> and </w:t>
      </w:r>
      <w:r w:rsidR="003F1BC8">
        <w:rPr>
          <w:b/>
          <w:bCs/>
          <w:i/>
        </w:rPr>
        <w:t>y</w:t>
      </w:r>
      <w:r w:rsidR="00B71607" w:rsidRPr="00B71607">
        <w:rPr>
          <w:bCs/>
        </w:rPr>
        <w:t xml:space="preserve"> </w:t>
      </w:r>
      <w:r>
        <w:rPr>
          <w:bCs/>
        </w:rPr>
        <w:t xml:space="preserve">both </w:t>
      </w:r>
      <w:r w:rsidR="00033232">
        <w:rPr>
          <w:bCs/>
        </w:rPr>
        <w:t>rise,</w:t>
      </w:r>
      <w:r w:rsidR="00B71607" w:rsidRPr="00B71607">
        <w:rPr>
          <w:bCs/>
        </w:rPr>
        <w:t xml:space="preserve"> </w:t>
      </w:r>
      <w:r w:rsidR="00033232">
        <w:rPr>
          <w:bCs/>
        </w:rPr>
        <w:t>moving</w:t>
      </w:r>
      <w:r w:rsidR="00B71607" w:rsidRPr="00B71607">
        <w:rPr>
          <w:bCs/>
        </w:rPr>
        <w:t xml:space="preserve"> </w:t>
      </w:r>
      <w:r w:rsidR="00C64DD2">
        <w:rPr>
          <w:bCs/>
        </w:rPr>
        <w:t xml:space="preserve">upward </w:t>
      </w:r>
      <w:r w:rsidR="00033232">
        <w:rPr>
          <w:bCs/>
        </w:rPr>
        <w:t>away</w:t>
      </w:r>
      <w:r w:rsidR="00B71607" w:rsidRPr="00B71607">
        <w:rPr>
          <w:bCs/>
        </w:rPr>
        <w:t xml:space="preserve"> </w:t>
      </w:r>
      <w:r w:rsidR="00033232">
        <w:rPr>
          <w:bCs/>
        </w:rPr>
        <w:t>from</w:t>
      </w:r>
      <w:r w:rsidR="00B71607" w:rsidRPr="00B71607">
        <w:rPr>
          <w:bCs/>
        </w:rPr>
        <w:t xml:space="preserve"> </w:t>
      </w:r>
      <w:r w:rsidR="00033232">
        <w:rPr>
          <w:bCs/>
        </w:rPr>
        <w:t>the</w:t>
      </w:r>
      <w:r w:rsidR="00B71607" w:rsidRPr="00B71607">
        <w:rPr>
          <w:bCs/>
        </w:rPr>
        <w:t xml:space="preserve"> </w:t>
      </w:r>
      <w:r w:rsidR="00033232">
        <w:rPr>
          <w:bCs/>
        </w:rPr>
        <w:t>warranted</w:t>
      </w:r>
      <w:r w:rsidR="00B71607" w:rsidRPr="00B71607">
        <w:rPr>
          <w:bCs/>
        </w:rPr>
        <w:t xml:space="preserve"> </w:t>
      </w:r>
      <w:r w:rsidR="00033232">
        <w:rPr>
          <w:bCs/>
        </w:rPr>
        <w:t>moving</w:t>
      </w:r>
      <w:r w:rsidR="00B71607" w:rsidRPr="00B71607">
        <w:rPr>
          <w:bCs/>
        </w:rPr>
        <w:t xml:space="preserve"> </w:t>
      </w:r>
      <w:r w:rsidR="00033232">
        <w:rPr>
          <w:bCs/>
        </w:rPr>
        <w:t>equilibrium</w:t>
      </w:r>
      <w:r w:rsidR="00862F91">
        <w:rPr>
          <w:bCs/>
        </w:rPr>
        <w:t xml:space="preserve"> at </w:t>
      </w:r>
      <w:r w:rsidR="00862F91">
        <w:rPr>
          <w:b/>
          <w:bCs/>
        </w:rPr>
        <w:t>W</w:t>
      </w:r>
      <w:r w:rsidR="00033232">
        <w:rPr>
          <w:bCs/>
        </w:rPr>
        <w:t>.</w:t>
      </w:r>
      <w:r w:rsidR="0056593E">
        <w:rPr>
          <w:bCs/>
        </w:rPr>
        <w:t xml:space="preserve"> What’s different here </w:t>
      </w:r>
      <w:r>
        <w:rPr>
          <w:bCs/>
        </w:rPr>
        <w:t xml:space="preserve">from the previous case </w:t>
      </w:r>
      <w:r w:rsidR="0056593E">
        <w:rPr>
          <w:bCs/>
        </w:rPr>
        <w:t>is that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non-NC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asymmetry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D04589">
        <w:rPr>
          <w:rFonts w:eastAsiaTheme="minorEastAsia"/>
          <w:bCs/>
          <w:color w:val="000000"/>
        </w:rPr>
        <w:t>play</w:t>
      </w:r>
      <w:r w:rsidR="000F6164">
        <w:rPr>
          <w:rFonts w:eastAsiaTheme="minorEastAsia"/>
          <w:bCs/>
          <w:color w:val="000000"/>
        </w:rPr>
        <w:t>s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D04589">
        <w:rPr>
          <w:rFonts w:eastAsiaTheme="minorEastAsia"/>
          <w:bCs/>
          <w:color w:val="000000"/>
        </w:rPr>
        <w:t>a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D04589">
        <w:rPr>
          <w:rFonts w:eastAsiaTheme="minorEastAsia"/>
          <w:bCs/>
          <w:color w:val="000000"/>
        </w:rPr>
        <w:t>role</w:t>
      </w:r>
      <w:r w:rsidR="00B3650A">
        <w:rPr>
          <w:rFonts w:eastAsiaTheme="minorEastAsia"/>
          <w:bCs/>
          <w:color w:val="000000"/>
        </w:rPr>
        <w:t>: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rising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capacity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56593E">
        <w:rPr>
          <w:rFonts w:eastAsiaTheme="minorEastAsia"/>
          <w:bCs/>
          <w:color w:val="000000"/>
        </w:rPr>
        <w:t xml:space="preserve">use </w:t>
      </w:r>
      <w:r w:rsidR="00B3650A">
        <w:rPr>
          <w:rFonts w:eastAsiaTheme="minorEastAsia"/>
          <w:bCs/>
          <w:color w:val="000000"/>
        </w:rPr>
        <w:t>and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the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A7421C">
        <w:rPr>
          <w:rFonts w:eastAsiaTheme="minorEastAsia"/>
          <w:bCs/>
          <w:color w:val="000000"/>
        </w:rPr>
        <w:t>resulting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increas</w:t>
      </w:r>
      <w:r w:rsidR="00A7421C">
        <w:rPr>
          <w:rFonts w:eastAsiaTheme="minorEastAsia"/>
          <w:bCs/>
          <w:color w:val="000000"/>
        </w:rPr>
        <w:t>e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A7421C">
        <w:rPr>
          <w:rFonts w:eastAsiaTheme="minorEastAsia"/>
          <w:bCs/>
          <w:color w:val="000000"/>
        </w:rPr>
        <w:t>in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3B71">
        <w:rPr>
          <w:rFonts w:eastAsiaTheme="minorEastAsia"/>
          <w:bCs/>
          <w:color w:val="000000"/>
        </w:rPr>
        <w:t>the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3B71">
        <w:rPr>
          <w:rFonts w:eastAsiaTheme="minorEastAsia"/>
          <w:bCs/>
          <w:color w:val="000000"/>
        </w:rPr>
        <w:t>prevalence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3B71">
        <w:rPr>
          <w:rFonts w:eastAsiaTheme="minorEastAsia"/>
          <w:bCs/>
          <w:color w:val="000000"/>
        </w:rPr>
        <w:t>of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bottlenecks</w:t>
      </w:r>
      <w:r w:rsidR="00A7421C">
        <w:rPr>
          <w:rStyle w:val="EndnoteReference"/>
          <w:rFonts w:eastAsiaTheme="minorEastAsia"/>
          <w:bCs/>
          <w:color w:val="000000"/>
        </w:rPr>
        <w:endnoteReference w:id="25"/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D04589">
        <w:rPr>
          <w:rFonts w:eastAsiaTheme="minorEastAsia"/>
          <w:bCs/>
          <w:color w:val="000000"/>
        </w:rPr>
        <w:t>likely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D04589">
        <w:rPr>
          <w:rFonts w:eastAsiaTheme="minorEastAsia"/>
          <w:bCs/>
          <w:color w:val="000000"/>
        </w:rPr>
        <w:t>i</w:t>
      </w:r>
      <w:r w:rsidR="00D04589">
        <w:rPr>
          <w:rFonts w:eastAsiaTheme="minorEastAsia"/>
          <w:bCs/>
          <w:color w:val="000000"/>
        </w:rPr>
        <w:t>n</w:t>
      </w:r>
      <w:r w:rsidR="00D04589">
        <w:rPr>
          <w:rFonts w:eastAsiaTheme="minorEastAsia"/>
          <w:bCs/>
          <w:color w:val="000000"/>
        </w:rPr>
        <w:t>duces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i</w:t>
      </w:r>
      <w:r w:rsidR="00B3650A">
        <w:rPr>
          <w:rFonts w:eastAsiaTheme="minorEastAsia"/>
          <w:bCs/>
          <w:color w:val="000000"/>
        </w:rPr>
        <w:t>n</w:t>
      </w:r>
      <w:r w:rsidR="00B3650A">
        <w:rPr>
          <w:rFonts w:eastAsiaTheme="minorEastAsia"/>
          <w:bCs/>
          <w:color w:val="000000"/>
        </w:rPr>
        <w:t>flation,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D04589">
        <w:rPr>
          <w:rFonts w:eastAsiaTheme="minorEastAsia"/>
          <w:bCs/>
          <w:color w:val="000000"/>
        </w:rPr>
        <w:t>damping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upward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adjustment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in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real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terms.</w:t>
      </w:r>
      <w:r w:rsidR="00B71607" w:rsidRPr="00B71607">
        <w:rPr>
          <w:rFonts w:eastAsiaTheme="minorEastAsia"/>
          <w:bCs/>
          <w:color w:val="000000"/>
        </w:rPr>
        <w:t xml:space="preserve"> </w:t>
      </w:r>
      <w:r>
        <w:rPr>
          <w:rFonts w:eastAsiaTheme="minorEastAsia"/>
          <w:bCs/>
          <w:color w:val="000000"/>
        </w:rPr>
        <w:t xml:space="preserve">Of course, as </w:t>
      </w:r>
      <w:r w:rsidR="00C64DD2">
        <w:rPr>
          <w:rFonts w:eastAsiaTheme="minorEastAsia"/>
          <w:bCs/>
          <w:color w:val="000000"/>
        </w:rPr>
        <w:t xml:space="preserve">noted above, the </w:t>
      </w:r>
      <w:r w:rsidR="00B3650A">
        <w:rPr>
          <w:rFonts w:eastAsiaTheme="minorEastAsia"/>
          <w:bCs/>
          <w:color w:val="000000"/>
        </w:rPr>
        <w:t>inflation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barrier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8E3D57">
        <w:rPr>
          <w:rFonts w:eastAsiaTheme="minorEastAsia"/>
          <w:bCs/>
          <w:color w:val="000000"/>
        </w:rPr>
        <w:t>at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A7421C">
        <w:rPr>
          <w:rFonts w:eastAsiaTheme="minorEastAsia"/>
          <w:bCs/>
          <w:color w:val="000000"/>
        </w:rPr>
        <w:t>full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A7421C">
        <w:rPr>
          <w:rFonts w:eastAsiaTheme="minorEastAsia"/>
          <w:bCs/>
          <w:color w:val="000000"/>
        </w:rPr>
        <w:t>capacity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A7421C">
        <w:rPr>
          <w:rFonts w:eastAsiaTheme="minorEastAsia"/>
          <w:bCs/>
          <w:color w:val="000000"/>
        </w:rPr>
        <w:t>u</w:t>
      </w:r>
      <w:r w:rsidR="008E3D57">
        <w:rPr>
          <w:rFonts w:eastAsiaTheme="minorEastAsia"/>
          <w:bCs/>
          <w:color w:val="000000"/>
        </w:rPr>
        <w:t>se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is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moderated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to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the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extent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that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businesses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hold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u</w:t>
      </w:r>
      <w:r w:rsidR="00B3650A">
        <w:rPr>
          <w:rFonts w:eastAsiaTheme="minorEastAsia"/>
          <w:bCs/>
          <w:color w:val="000000"/>
        </w:rPr>
        <w:t>n</w:t>
      </w:r>
      <w:r w:rsidR="00B3650A">
        <w:rPr>
          <w:rFonts w:eastAsiaTheme="minorEastAsia"/>
          <w:bCs/>
          <w:color w:val="000000"/>
        </w:rPr>
        <w:t>used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capacity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to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allow</w:t>
      </w:r>
      <w:r w:rsidR="00B71607" w:rsidRPr="00B71607">
        <w:rPr>
          <w:rFonts w:eastAsiaTheme="minorEastAsia"/>
          <w:bCs/>
          <w:color w:val="000000"/>
        </w:rPr>
        <w:t xml:space="preserve"> </w:t>
      </w:r>
      <w:r w:rsidR="00B3650A">
        <w:rPr>
          <w:rFonts w:eastAsiaTheme="minorEastAsia"/>
          <w:bCs/>
          <w:color w:val="000000"/>
        </w:rPr>
        <w:t>flexibility.</w:t>
      </w:r>
      <w:r w:rsidR="003D0E3A">
        <w:rPr>
          <w:rFonts w:eastAsiaTheme="minorEastAsia"/>
          <w:bCs/>
          <w:color w:val="000000"/>
        </w:rPr>
        <w:t xml:space="preserve"> However, a</w:t>
      </w:r>
      <w:r w:rsidR="003D0E3A">
        <w:rPr>
          <w:rFonts w:eastAsiaTheme="minorEastAsia"/>
          <w:bCs/>
          <w:color w:val="000000"/>
        </w:rPr>
        <w:t xml:space="preserve">s discussed next, </w:t>
      </w:r>
      <w:r>
        <w:rPr>
          <w:rFonts w:eastAsiaTheme="minorEastAsia"/>
          <w:bCs/>
          <w:color w:val="000000"/>
        </w:rPr>
        <w:t xml:space="preserve">the </w:t>
      </w:r>
      <w:r w:rsidR="00524EEB">
        <w:rPr>
          <w:rFonts w:eastAsiaTheme="minorEastAsia"/>
          <w:bCs/>
          <w:color w:val="000000"/>
        </w:rPr>
        <w:t>inflation barrier at full e</w:t>
      </w:r>
      <w:r w:rsidR="00524EEB">
        <w:rPr>
          <w:rFonts w:eastAsiaTheme="minorEastAsia"/>
          <w:bCs/>
          <w:color w:val="000000"/>
        </w:rPr>
        <w:t>m</w:t>
      </w:r>
      <w:r w:rsidR="00524EEB">
        <w:rPr>
          <w:rFonts w:eastAsiaTheme="minorEastAsia"/>
          <w:bCs/>
          <w:color w:val="000000"/>
        </w:rPr>
        <w:t>ployment of labor-power is qualitatively differ</w:t>
      </w:r>
      <w:r>
        <w:rPr>
          <w:rFonts w:eastAsiaTheme="minorEastAsia"/>
          <w:bCs/>
          <w:color w:val="000000"/>
        </w:rPr>
        <w:t xml:space="preserve">ent. In the present model, </w:t>
      </w:r>
      <w:r w:rsidR="003D0E3A">
        <w:rPr>
          <w:rFonts w:eastAsiaTheme="minorEastAsia"/>
          <w:bCs/>
          <w:color w:val="000000"/>
        </w:rPr>
        <w:t xml:space="preserve">unlike those of economies with “unlimited supplies of labor,” </w:t>
      </w:r>
      <w:r>
        <w:rPr>
          <w:rFonts w:eastAsiaTheme="minorEastAsia"/>
          <w:bCs/>
          <w:color w:val="000000"/>
        </w:rPr>
        <w:t>the supply of l</w:t>
      </w:r>
      <w:r>
        <w:rPr>
          <w:rFonts w:eastAsiaTheme="minorEastAsia"/>
          <w:bCs/>
          <w:color w:val="000000"/>
        </w:rPr>
        <w:t>a</w:t>
      </w:r>
      <w:r>
        <w:rPr>
          <w:rFonts w:eastAsiaTheme="minorEastAsia"/>
          <w:bCs/>
          <w:color w:val="000000"/>
        </w:rPr>
        <w:t xml:space="preserve">bor-power is inelastic. </w:t>
      </w:r>
    </w:p>
    <w:p w:rsidR="00C55ADD" w:rsidRPr="003F1BC8" w:rsidRDefault="00D4213A" w:rsidP="00FB4485">
      <w:pPr>
        <w:pStyle w:val="H3"/>
      </w:pPr>
      <w:bookmarkStart w:id="27" w:name="_Ref407692431"/>
      <w:r w:rsidRPr="00D4213A">
        <w:rPr>
          <w:noProof/>
        </w:rPr>
        <w:t>Harrod</w:t>
      </w:r>
      <w:r w:rsidR="00B71607" w:rsidRPr="00B71607">
        <w:t xml:space="preserve"> </w:t>
      </w:r>
      <w:r w:rsidR="0003146B" w:rsidRPr="003F1BC8">
        <w:t>and</w:t>
      </w:r>
      <w:r w:rsidR="00B71607" w:rsidRPr="00B71607">
        <w:t xml:space="preserve"> </w:t>
      </w:r>
      <w:r w:rsidR="00C55ADD" w:rsidRPr="003F1BC8">
        <w:t>Solow’s</w:t>
      </w:r>
      <w:r w:rsidR="00B71607" w:rsidRPr="00B71607">
        <w:t xml:space="preserve"> </w:t>
      </w:r>
      <w:r w:rsidR="00C55ADD" w:rsidRPr="003F1BC8">
        <w:t>Steady</w:t>
      </w:r>
      <w:r w:rsidR="00B71607" w:rsidRPr="00B71607">
        <w:t xml:space="preserve"> </w:t>
      </w:r>
      <w:r w:rsidR="00C55ADD" w:rsidRPr="003F1BC8">
        <w:t>S</w:t>
      </w:r>
      <w:r w:rsidR="004E0412" w:rsidRPr="003F1BC8">
        <w:t>t</w:t>
      </w:r>
      <w:r w:rsidR="00C55ADD" w:rsidRPr="003F1BC8">
        <w:t>ate.</w:t>
      </w:r>
      <w:bookmarkEnd w:id="27"/>
    </w:p>
    <w:p w:rsidR="00C55ADD" w:rsidRDefault="001B01B7" w:rsidP="00666531">
      <w:pPr>
        <w:spacing w:line="240" w:lineRule="auto"/>
      </w:pPr>
      <w:r>
        <w:t>As</w:t>
      </w:r>
      <w:r w:rsidR="00B71607" w:rsidRPr="00B71607">
        <w:t xml:space="preserve"> </w:t>
      </w:r>
      <w:r>
        <w:t>noted,</w:t>
      </w:r>
      <w:r w:rsidR="00B71607" w:rsidRPr="00B71607">
        <w:t xml:space="preserve"> </w:t>
      </w:r>
      <w:r w:rsidR="00163C69">
        <w:t xml:space="preserve">Solow describes the </w:t>
      </w:r>
      <w:r w:rsidR="00BE538D">
        <w:t>“knife</w:t>
      </w:r>
      <w:r w:rsidR="00B71607" w:rsidRPr="00B71607">
        <w:t xml:space="preserve"> </w:t>
      </w:r>
      <w:r w:rsidR="00BE538D">
        <w:t>edge”</w:t>
      </w:r>
      <w:r w:rsidR="00B71607" w:rsidRPr="00B71607">
        <w:t xml:space="preserve"> </w:t>
      </w:r>
      <w:r w:rsidR="00163C69">
        <w:t xml:space="preserve">as concerning </w:t>
      </w:r>
      <w:r w:rsidR="00C55ADD">
        <w:t>the</w:t>
      </w:r>
      <w:r w:rsidR="00B71607" w:rsidRPr="00B71607">
        <w:t xml:space="preserve"> </w:t>
      </w:r>
      <w:r w:rsidR="00C55ADD">
        <w:t>relationship</w:t>
      </w:r>
      <w:r w:rsidR="00B71607" w:rsidRPr="00B71607">
        <w:t xml:space="preserve"> </w:t>
      </w:r>
      <w:r w:rsidR="00C55ADD">
        <w:t>between</w:t>
      </w:r>
      <w:r w:rsidR="00B71607" w:rsidRPr="00B71607">
        <w:t xml:space="preserve"> </w:t>
      </w:r>
      <w:r w:rsidR="00AB6A3D">
        <w:t>the</w:t>
      </w:r>
      <w:r w:rsidR="00B71607" w:rsidRPr="00B71607">
        <w:t xml:space="preserve"> </w:t>
      </w:r>
      <w:proofErr w:type="spellStart"/>
      <w:r w:rsidR="00FE16AC">
        <w:rPr>
          <w:b/>
        </w:rPr>
        <w:t>g</w:t>
      </w:r>
      <w:r w:rsidR="00FE16AC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BE538D">
        <w:t>and</w:t>
      </w:r>
      <w:r w:rsidR="00B71607" w:rsidRPr="00B71607">
        <w:t xml:space="preserve"> </w:t>
      </w:r>
      <w:proofErr w:type="spellStart"/>
      <w:r w:rsidR="005124E5">
        <w:rPr>
          <w:b/>
        </w:rPr>
        <w:t>g</w:t>
      </w:r>
      <w:r w:rsidR="00BE538D">
        <w:rPr>
          <w:b/>
          <w:smallCaps/>
          <w:vertAlign w:val="subscript"/>
        </w:rPr>
        <w:t>w</w:t>
      </w:r>
      <w:proofErr w:type="spellEnd"/>
      <w:r>
        <w:t>.</w:t>
      </w:r>
      <w:r w:rsidR="00B71607" w:rsidRPr="00B71607">
        <w:t xml:space="preserve"> </w:t>
      </w:r>
      <w:r w:rsidR="00163C69">
        <w:t xml:space="preserve">As part of his analysis, he </w:t>
      </w:r>
      <w:r w:rsidR="004F06D7">
        <w:t>implicitly</w:t>
      </w:r>
      <w:r w:rsidR="00B71607" w:rsidRPr="00B71607">
        <w:t xml:space="preserve"> </w:t>
      </w:r>
      <w:r w:rsidR="005124E5">
        <w:t>as</w:t>
      </w:r>
      <w:r w:rsidR="004F06D7">
        <w:t>s</w:t>
      </w:r>
      <w:r w:rsidR="005124E5">
        <w:t>ume</w:t>
      </w:r>
      <w:r w:rsidR="004F06D7">
        <w:t>d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rPr>
          <w:b/>
        </w:rPr>
        <w:t>g</w:t>
      </w:r>
      <w:r w:rsidR="00B71607" w:rsidRPr="00B71607">
        <w:t xml:space="preserve"> </w:t>
      </w:r>
      <w:r w:rsidR="00AB6A3D">
        <w:t>equal</w:t>
      </w:r>
      <w:r w:rsidR="00B71607" w:rsidRPr="00B71607">
        <w:t xml:space="preserve"> </w:t>
      </w:r>
      <w:proofErr w:type="spellStart"/>
      <w:r w:rsidR="005124E5">
        <w:rPr>
          <w:b/>
        </w:rPr>
        <w:t>g</w:t>
      </w:r>
      <w:r>
        <w:rPr>
          <w:b/>
          <w:smallCaps/>
          <w:vertAlign w:val="subscript"/>
        </w:rPr>
        <w:t>w</w:t>
      </w:r>
      <w:proofErr w:type="spellEnd"/>
      <w:r>
        <w:t>,</w:t>
      </w:r>
      <w:r w:rsidR="00B71607" w:rsidRPr="00B71607">
        <w:t xml:space="preserve"> </w:t>
      </w:r>
      <w:r w:rsidR="00163C69">
        <w:t xml:space="preserve">essentially </w:t>
      </w:r>
      <w:r w:rsidR="004343E5">
        <w:t>ignoring</w:t>
      </w:r>
      <w:r w:rsidR="00B71607" w:rsidRPr="00B71607">
        <w:t xml:space="preserve"> </w:t>
      </w:r>
      <w:r w:rsidR="00D4213A" w:rsidRPr="00D4213A">
        <w:rPr>
          <w:noProof/>
        </w:rPr>
        <w:t>Harrod’s</w:t>
      </w:r>
      <w:r w:rsidR="00B71607" w:rsidRPr="00B71607">
        <w:t xml:space="preserve"> </w:t>
      </w:r>
      <w:r>
        <w:t>knife</w:t>
      </w:r>
      <w:r w:rsidR="00B71607" w:rsidRPr="00B71607">
        <w:t xml:space="preserve"> </w:t>
      </w:r>
      <w:r>
        <w:t>edge</w:t>
      </w:r>
      <w:r w:rsidR="00B71607" w:rsidRPr="00B71607">
        <w:t xml:space="preserve"> </w:t>
      </w:r>
      <w:r w:rsidR="00FE16AC">
        <w:t>entirely</w:t>
      </w:r>
      <w:r w:rsidR="00C55ADD">
        <w:t>.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 w:rsidR="00FE16AC">
        <w:t>a</w:t>
      </w:r>
      <w:r w:rsidR="00B71607" w:rsidRPr="00B71607">
        <w:t xml:space="preserve"> </w:t>
      </w:r>
      <w:r w:rsidR="00C55ADD">
        <w:t>sketch</w:t>
      </w:r>
      <w:r w:rsidR="00B71607" w:rsidRPr="00B71607">
        <w:t xml:space="preserve"> </w:t>
      </w:r>
      <w:r w:rsidR="00FE16AC">
        <w:t>of</w:t>
      </w:r>
      <w:r w:rsidR="00B71607" w:rsidRPr="00B71607">
        <w:t xml:space="preserve"> </w:t>
      </w:r>
      <w:r w:rsidR="00C55ADD">
        <w:t>the</w:t>
      </w:r>
      <w:r w:rsidR="00B71607" w:rsidRPr="00B71607">
        <w:t xml:space="preserve"> </w:t>
      </w:r>
      <w:r w:rsidR="00C55ADD">
        <w:t>role</w:t>
      </w:r>
      <w:r w:rsidR="00B71607" w:rsidRPr="00B71607">
        <w:t xml:space="preserve"> </w:t>
      </w:r>
      <w:r w:rsidR="00C55ADD">
        <w:t>of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C55ADD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C55ADD">
        <w:t>in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 w:rsidR="00B71607" w:rsidRPr="00B71607">
        <w:t xml:space="preserve"> </w:t>
      </w:r>
      <w:r w:rsidR="00FE16AC">
        <w:t>is</w:t>
      </w:r>
      <w:r w:rsidR="00B71607" w:rsidRPr="00B71607">
        <w:t xml:space="preserve"> </w:t>
      </w:r>
      <w:r w:rsidR="00FE16AC">
        <w:t>required</w:t>
      </w:r>
      <w:r w:rsidR="00B71607" w:rsidRPr="00B71607">
        <w:t xml:space="preserve"> </w:t>
      </w:r>
      <w:r w:rsidR="00FE16AC">
        <w:t>before</w:t>
      </w:r>
      <w:r w:rsidR="00B71607" w:rsidRPr="00B71607">
        <w:t xml:space="preserve"> </w:t>
      </w:r>
      <w:r w:rsidR="00FE16AC">
        <w:t>Solow’s</w:t>
      </w:r>
      <w:r w:rsidR="00B71607" w:rsidRPr="00B71607">
        <w:t xml:space="preserve"> </w:t>
      </w:r>
      <w:r w:rsidR="00FE16AC">
        <w:t>problem</w:t>
      </w:r>
      <w:r w:rsidR="00B71607" w:rsidRPr="00B71607">
        <w:t xml:space="preserve"> </w:t>
      </w:r>
      <w:r w:rsidR="00FE16AC">
        <w:t>can</w:t>
      </w:r>
      <w:r w:rsidR="00B71607" w:rsidRPr="00B71607">
        <w:t xml:space="preserve"> </w:t>
      </w:r>
      <w:r w:rsidR="00FE16AC">
        <w:t>be</w:t>
      </w:r>
      <w:r w:rsidR="00B71607" w:rsidRPr="00B71607">
        <w:t xml:space="preserve"> </w:t>
      </w:r>
      <w:r w:rsidR="00FE16AC">
        <w:t>addressed.</w:t>
      </w:r>
      <w:r w:rsidR="00B71607" w:rsidRPr="00B71607">
        <w:t xml:space="preserve"> </w:t>
      </w:r>
    </w:p>
    <w:p w:rsidR="00FE16AC" w:rsidRDefault="00162AC4" w:rsidP="00D51D67">
      <w:pPr>
        <w:pStyle w:val="H4"/>
        <w:keepNext/>
      </w:pPr>
      <w:r>
        <w:t>A Trinity of</w:t>
      </w:r>
      <w:r w:rsidR="00B71607" w:rsidRPr="00B71607">
        <w:t xml:space="preserve"> </w:t>
      </w:r>
      <w:r>
        <w:t>G</w:t>
      </w:r>
      <w:r w:rsidR="00FE16AC">
        <w:t>rowth</w:t>
      </w:r>
      <w:r>
        <w:t xml:space="preserve"> Rates</w:t>
      </w:r>
      <w:r w:rsidR="00FE16AC">
        <w:t>.</w:t>
      </w:r>
      <w:r w:rsidR="00B71607" w:rsidRPr="00B71607">
        <w:t xml:space="preserve"> </w:t>
      </w:r>
    </w:p>
    <w:p w:rsidR="0071403C" w:rsidRDefault="004602C8" w:rsidP="00666531">
      <w:pPr>
        <w:spacing w:line="240" w:lineRule="auto"/>
      </w:pPr>
      <w:r>
        <w:t>To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>
        <w:t>,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“the</w:t>
      </w:r>
      <w:r w:rsidR="00B71607" w:rsidRPr="00B71607">
        <w:t xml:space="preserve"> </w:t>
      </w:r>
      <w:r>
        <w:t>maximum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allowed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increase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population,</w:t>
      </w:r>
      <w:r w:rsidR="00B71607" w:rsidRPr="00B71607">
        <w:t xml:space="preserve"> </w:t>
      </w:r>
      <w:r>
        <w:t>acc</w:t>
      </w:r>
      <w:r>
        <w:t>u</w:t>
      </w:r>
      <w:r>
        <w:t>mulation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capital,</w:t>
      </w:r>
      <w:r w:rsidR="00B71607" w:rsidRPr="00B71607">
        <w:t xml:space="preserve"> </w:t>
      </w:r>
      <w:r>
        <w:t>technological</w:t>
      </w:r>
      <w:r w:rsidR="00B71607" w:rsidRPr="00B71607">
        <w:t xml:space="preserve"> </w:t>
      </w:r>
      <w:r>
        <w:t>improvement,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work/leisure</w:t>
      </w:r>
      <w:r w:rsidR="00B71607" w:rsidRPr="00B71607">
        <w:t xml:space="preserve"> </w:t>
      </w:r>
      <w:r>
        <w:t>preference</w:t>
      </w:r>
      <w:r w:rsidR="00B71607" w:rsidRPr="00B71607">
        <w:t xml:space="preserve"> </w:t>
      </w:r>
      <w:r>
        <w:t>schedule,</w:t>
      </w:r>
      <w:r w:rsidR="00B71607" w:rsidRPr="00B71607">
        <w:t xml:space="preserve"> </w:t>
      </w:r>
      <w:r>
        <w:t>supposing</w:t>
      </w:r>
      <w:r w:rsidR="00B71607" w:rsidRPr="00B71607">
        <w:t xml:space="preserve"> </w:t>
      </w:r>
      <w:r>
        <w:t>there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always</w:t>
      </w:r>
      <w:r w:rsidR="00B71607" w:rsidRPr="00B71607">
        <w:t xml:space="preserve"> </w:t>
      </w:r>
      <w:r>
        <w:t>full</w:t>
      </w:r>
      <w:r w:rsidR="00B71607" w:rsidRPr="00B71607">
        <w:t xml:space="preserve"> </w:t>
      </w:r>
      <w:r>
        <w:t>employment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some</w:t>
      </w:r>
      <w:r w:rsidR="00B71607" w:rsidRPr="00B71607">
        <w:t xml:space="preserve"> </w:t>
      </w:r>
      <w:r>
        <w:t>sense.”</w:t>
      </w:r>
      <w:r w:rsidR="00B71607" w:rsidRPr="00B71607">
        <w:t xml:space="preserve"> </w:t>
      </w:r>
      <w:r w:rsidR="00EA029D"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usual</w:t>
      </w:r>
      <w:r w:rsidR="00B71607" w:rsidRPr="00B71607">
        <w:t xml:space="preserve"> </w:t>
      </w:r>
      <w:r>
        <w:t>interpretation</w:t>
      </w:r>
      <w:r w:rsidR="000737D9">
        <w:t>,</w:t>
      </w:r>
      <w:r w:rsidR="00B71607" w:rsidRPr="00B71607">
        <w:t xml:space="preserve"> </w:t>
      </w:r>
      <w:r w:rsidR="00664054">
        <w:t>this</w:t>
      </w:r>
      <w:r w:rsidR="00B71607" w:rsidRPr="00B71607">
        <w:t xml:space="preserve"> </w:t>
      </w:r>
      <w:r w:rsidR="00664054">
        <w:t>is</w:t>
      </w:r>
      <w:r w:rsidR="00B71607" w:rsidRPr="00B71607">
        <w:t xml:space="preserve"> </w:t>
      </w:r>
      <w:r w:rsidR="00664054">
        <w:t>stated</w:t>
      </w:r>
      <w:r w:rsidR="00B71607" w:rsidRPr="00B71607">
        <w:t xml:space="preserve"> </w:t>
      </w:r>
      <w:r w:rsidR="00664054">
        <w:t>as</w:t>
      </w:r>
      <w:r w:rsidR="00B71607" w:rsidRPr="00B71607">
        <w:t xml:space="preserve"> </w:t>
      </w:r>
      <w:r w:rsidR="00664054">
        <w:t>saying</w:t>
      </w:r>
      <w:r w:rsidR="00B71607" w:rsidRPr="00B71607">
        <w:t xml:space="preserve"> </w:t>
      </w:r>
      <w:r w:rsidR="00664054">
        <w:t>that</w:t>
      </w:r>
      <w:r w:rsidR="00B71607" w:rsidRPr="00B71607">
        <w:t xml:space="preserve"> </w:t>
      </w:r>
      <w:r w:rsidR="00DE7A44">
        <w:t>accumulation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technological</w:t>
      </w:r>
      <w:r w:rsidR="00B71607" w:rsidRPr="00B71607">
        <w:t xml:space="preserve"> </w:t>
      </w:r>
      <w:r w:rsidR="00DE7A44">
        <w:t>change</w:t>
      </w:r>
      <w:r w:rsidR="00B71607" w:rsidRPr="00B71607">
        <w:t xml:space="preserve"> </w:t>
      </w:r>
      <w:r w:rsidR="00DE7A44">
        <w:t>raise</w:t>
      </w:r>
      <w:r w:rsidR="00B71607" w:rsidRPr="00B71607">
        <w:t xml:space="preserve"> </w:t>
      </w:r>
      <w:r w:rsidR="00A51A0C">
        <w:t xml:space="preserve">the productivity of </w:t>
      </w:r>
      <w:r w:rsidR="00163C69">
        <w:t xml:space="preserve">employed </w:t>
      </w:r>
      <w:r w:rsidR="00940FDD">
        <w:t>labor-power</w:t>
      </w:r>
      <w:r w:rsidR="00B71607" w:rsidRPr="00B71607">
        <w:t xml:space="preserve"> </w:t>
      </w:r>
      <w:r w:rsidR="00ED4CAC">
        <w:t>(</w:t>
      </w:r>
      <w:r w:rsidR="00163C69" w:rsidRPr="00AA113A">
        <w:rPr>
          <w:b/>
          <w:i/>
        </w:rPr>
        <w:sym w:font="Symbol" w:char="F06D"/>
      </w:r>
      <w:r w:rsidR="00ED4CAC">
        <w:t>)</w:t>
      </w:r>
      <w:r w:rsidR="00B71607" w:rsidRPr="00B71607">
        <w:t xml:space="preserve"> </w:t>
      </w:r>
      <w:r>
        <w:t>while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="00DE7A44">
        <w:t>population</w:t>
      </w:r>
      <w:r w:rsidR="00E1663F">
        <w:t>’s</w:t>
      </w:r>
      <w:r w:rsidR="00B71607" w:rsidRPr="00B71607">
        <w:t xml:space="preserve"> </w:t>
      </w:r>
      <w:r w:rsidR="00664054">
        <w:t>change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 w:rsidR="000737D9">
        <w:t>changes</w:t>
      </w:r>
      <w:r w:rsidR="00B71607" w:rsidRPr="00B71607">
        <w:t xml:space="preserve"> </w:t>
      </w:r>
      <w:r w:rsidR="000737D9"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work/leisure</w:t>
      </w:r>
      <w:r w:rsidR="00B71607" w:rsidRPr="00B71607">
        <w:t xml:space="preserve"> </w:t>
      </w:r>
      <w:r>
        <w:t>choice</w:t>
      </w:r>
      <w:r w:rsidR="00B71607" w:rsidRPr="00B71607">
        <w:t xml:space="preserve"> </w:t>
      </w:r>
      <w:r w:rsidR="000737D9">
        <w:t>can</w:t>
      </w:r>
      <w:r w:rsidR="00B71607" w:rsidRPr="00B71607">
        <w:t xml:space="preserve"> </w:t>
      </w:r>
      <w:r w:rsidR="000737D9">
        <w:t>raise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labor</w:t>
      </w:r>
      <w:r w:rsidR="00B71607" w:rsidRPr="00B71607">
        <w:t xml:space="preserve"> </w:t>
      </w:r>
      <w:r>
        <w:t>force</w:t>
      </w:r>
      <w:r w:rsidR="00B71607" w:rsidRPr="00B71607">
        <w:t xml:space="preserve"> </w:t>
      </w:r>
      <w:r w:rsidR="00E1663F">
        <w:t>(the</w:t>
      </w:r>
      <w:r w:rsidR="00B71607" w:rsidRPr="00B71607">
        <w:t xml:space="preserve"> </w:t>
      </w:r>
      <w:r w:rsidR="00E1663F">
        <w:t>number</w:t>
      </w:r>
      <w:r w:rsidR="00B71607" w:rsidRPr="00B71607">
        <w:t xml:space="preserve"> </w:t>
      </w:r>
      <w:r w:rsidR="00E1663F">
        <w:t>of</w:t>
      </w:r>
      <w:r w:rsidR="00B71607" w:rsidRPr="00B71607">
        <w:t xml:space="preserve"> </w:t>
      </w:r>
      <w:r w:rsidR="00E1663F">
        <w:t>people</w:t>
      </w:r>
      <w:r w:rsidR="00B71607" w:rsidRPr="00B71607">
        <w:t xml:space="preserve"> </w:t>
      </w:r>
      <w:r w:rsidR="00E1663F">
        <w:t>willing</w:t>
      </w:r>
      <w:r w:rsidR="00B71607" w:rsidRPr="00B71607">
        <w:t xml:space="preserve"> </w:t>
      </w:r>
      <w:r w:rsidR="00E1663F">
        <w:t>and</w:t>
      </w:r>
      <w:r w:rsidR="00B71607" w:rsidRPr="00B71607">
        <w:t xml:space="preserve"> </w:t>
      </w:r>
      <w:r w:rsidR="00E1663F">
        <w:t>able</w:t>
      </w:r>
      <w:r w:rsidR="00B71607" w:rsidRPr="00B71607">
        <w:t xml:space="preserve"> </w:t>
      </w:r>
      <w:r w:rsidR="00E1663F">
        <w:t>to</w:t>
      </w:r>
      <w:r w:rsidR="00B71607" w:rsidRPr="00B71607">
        <w:t xml:space="preserve"> </w:t>
      </w:r>
      <w:r w:rsidR="00E1663F">
        <w:t>work</w:t>
      </w:r>
      <w:r w:rsidR="00B71607" w:rsidRPr="00B71607">
        <w:t xml:space="preserve"> </w:t>
      </w:r>
      <w:r w:rsidR="00E1663F">
        <w:t>for</w:t>
      </w:r>
      <w:r w:rsidR="00B71607" w:rsidRPr="00B71607">
        <w:t xml:space="preserve"> </w:t>
      </w:r>
      <w:r w:rsidR="00E1663F">
        <w:t>pay).</w:t>
      </w:r>
      <w:r w:rsidR="00B71607" w:rsidRPr="00B71607">
        <w:t xml:space="preserve"> </w:t>
      </w:r>
      <w:r w:rsidR="00E1663F">
        <w:t>Given</w:t>
      </w:r>
      <w:r w:rsidR="00B71607" w:rsidRPr="00B71607">
        <w:t xml:space="preserve"> </w:t>
      </w:r>
      <w:r w:rsidR="007E6021">
        <w:t>a</w:t>
      </w:r>
      <w:r w:rsidR="00B71607" w:rsidRPr="00B71607">
        <w:t xml:space="preserve"> </w:t>
      </w:r>
      <w:r w:rsidR="007E6021">
        <w:t>unique</w:t>
      </w:r>
      <w:r w:rsidR="00B71607" w:rsidRPr="00B71607">
        <w:t xml:space="preserve"> </w:t>
      </w:r>
      <w:r w:rsidR="00163C69">
        <w:t xml:space="preserve">and constant value </w:t>
      </w:r>
      <w:r w:rsidR="002A0AB8">
        <w:t>of</w:t>
      </w:r>
      <w:r w:rsidR="00B71607" w:rsidRPr="00B71607">
        <w:t xml:space="preserve"> </w:t>
      </w:r>
      <w:r w:rsidR="002E057D">
        <w:t>the</w:t>
      </w:r>
      <w:r w:rsidR="00B71607" w:rsidRPr="00B71607">
        <w:t xml:space="preserve"> </w:t>
      </w:r>
      <w:r w:rsidR="002E057D">
        <w:t>NAIRU</w:t>
      </w:r>
      <w:r w:rsidR="00B71607" w:rsidRPr="00B71607">
        <w:t xml:space="preserve"> </w:t>
      </w:r>
      <w:r w:rsidR="002E057D">
        <w:t>(</w:t>
      </w:r>
      <w:proofErr w:type="spellStart"/>
      <w:r w:rsidR="002A0AB8" w:rsidRPr="002A0AB8">
        <w:rPr>
          <w:b/>
          <w:i/>
        </w:rPr>
        <w:t>u</w:t>
      </w:r>
      <w:r w:rsidR="00150B85">
        <w:rPr>
          <w:b/>
          <w:smallCaps/>
          <w:vertAlign w:val="subscript"/>
        </w:rPr>
        <w:t>F</w:t>
      </w:r>
      <w:proofErr w:type="spellEnd"/>
      <w:r w:rsidR="002E057D">
        <w:t>)</w:t>
      </w:r>
      <w:r w:rsidR="00ED4CAC">
        <w:t>,</w:t>
      </w:r>
      <w:r w:rsidR="00B71607" w:rsidRPr="00B71607">
        <w:t xml:space="preserve"> </w:t>
      </w:r>
      <w:r w:rsidR="00E1663F">
        <w:t>the</w:t>
      </w:r>
      <w:r w:rsidR="00B71607" w:rsidRPr="00B71607">
        <w:t xml:space="preserve"> </w:t>
      </w:r>
      <w:r w:rsidR="00E1663F">
        <w:t>latter</w:t>
      </w:r>
      <w:r w:rsidR="00B71607" w:rsidRPr="00B71607">
        <w:t xml:space="preserve"> </w:t>
      </w:r>
      <w:r w:rsidR="00E1663F">
        <w:t>determines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available</w:t>
      </w:r>
      <w:r w:rsidR="00B71607" w:rsidRPr="00B71607">
        <w:t xml:space="preserve"> </w:t>
      </w:r>
      <w:r>
        <w:t>labor</w:t>
      </w:r>
      <w:r w:rsidR="00B71607" w:rsidRPr="00B71607">
        <w:t xml:space="preserve"> </w:t>
      </w:r>
      <w:r w:rsidR="00E1663F">
        <w:t>force</w:t>
      </w:r>
      <w:r w:rsidR="00B71607" w:rsidRPr="00B71607">
        <w:t xml:space="preserve"> </w:t>
      </w:r>
      <w:r w:rsidR="00ED4CAC">
        <w:t>(</w:t>
      </w:r>
      <w:r w:rsidR="00E1663F">
        <w:rPr>
          <w:b/>
        </w:rPr>
        <w:t>N</w:t>
      </w:r>
      <w:r w:rsidR="00ED4CAC">
        <w:t>)</w:t>
      </w:r>
      <w:r>
        <w:t>.</w:t>
      </w:r>
      <w:r w:rsidR="00B71607" w:rsidRPr="00B71607">
        <w:t xml:space="preserve"> </w:t>
      </w:r>
      <w:r w:rsidR="00F763DE">
        <w:t>Both</w:t>
      </w:r>
      <w:r w:rsidR="00B71607" w:rsidRPr="00B71607">
        <w:t xml:space="preserve"> </w:t>
      </w:r>
      <w:r w:rsidR="0001078C">
        <w:t>variables</w:t>
      </w:r>
      <w:r w:rsidR="00B71607" w:rsidRPr="00B71607">
        <w:t xml:space="preserve"> </w:t>
      </w:r>
      <w:r w:rsidR="00F763DE">
        <w:t>raise</w:t>
      </w:r>
      <w:r w:rsidR="00B71607" w:rsidRPr="00B71607">
        <w:t xml:space="preserve"> </w:t>
      </w:r>
      <w:r w:rsidR="00A51A0C">
        <w:t xml:space="preserve">full-employment output </w:t>
      </w:r>
      <w:r w:rsidR="00F763DE">
        <w:rPr>
          <w:b/>
        </w:rPr>
        <w:t>F</w:t>
      </w:r>
      <w:r w:rsidR="00B71607" w:rsidRPr="00B71607">
        <w:t xml:space="preserve"> </w:t>
      </w:r>
      <w:r w:rsidR="00F763DE">
        <w:t>=</w:t>
      </w:r>
      <w:r w:rsidR="00B71607" w:rsidRPr="00B71607">
        <w:t xml:space="preserve"> </w:t>
      </w:r>
      <w:r w:rsidR="00163C69" w:rsidRPr="00AA113A">
        <w:rPr>
          <w:b/>
          <w:i/>
        </w:rPr>
        <w:sym w:font="Symbol" w:char="F06D"/>
      </w:r>
      <w:r w:rsidR="00F763DE" w:rsidRPr="008B70A7">
        <w:t>·</w:t>
      </w:r>
      <w:r w:rsidR="00F763DE">
        <w:rPr>
          <w:b/>
        </w:rPr>
        <w:t>N</w:t>
      </w:r>
      <w:r w:rsidR="00F763DE">
        <w:t>.</w:t>
      </w:r>
      <w:r w:rsidR="0073428F">
        <w:t xml:space="preserve"> </w:t>
      </w:r>
    </w:p>
    <w:p w:rsidR="00C55ADD" w:rsidRDefault="008C3DB7" w:rsidP="00666531">
      <w:pPr>
        <w:spacing w:line="240" w:lineRule="auto"/>
      </w:pPr>
      <w:r>
        <w:t>Let</w:t>
      </w:r>
      <w:r w:rsidR="00B71607" w:rsidRPr="00B71607">
        <w:t xml:space="preserve"> </w:t>
      </w:r>
      <w:r w:rsidRPr="008F14FD">
        <w:rPr>
          <w:b/>
          <w:i/>
        </w:rPr>
        <w:t>n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rPr>
          <w:b/>
        </w:rPr>
        <w:t>N</w:t>
      </w:r>
      <w:r w:rsidR="00B71607" w:rsidRPr="00B71607">
        <w:t xml:space="preserve"> </w:t>
      </w:r>
      <w:r w:rsidR="0001078C" w:rsidRPr="0001078C">
        <w:t>while</w:t>
      </w:r>
      <w:r w:rsidR="00B71607" w:rsidRPr="00B71607">
        <w:t xml:space="preserve"> </w:t>
      </w:r>
      <w:r w:rsidRPr="008F14FD">
        <w:rPr>
          <w:b/>
          <w:i/>
        </w:rPr>
        <w:t>m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 w:rsidR="00163C69" w:rsidRPr="00AA113A">
        <w:rPr>
          <w:b/>
          <w:i/>
        </w:rPr>
        <w:sym w:font="Symbol" w:char="F06D"/>
      </w:r>
      <w:r w:rsidR="0001078C">
        <w:t>.</w:t>
      </w:r>
      <w:r w:rsidR="00B71607" w:rsidRPr="00B71607">
        <w:t xml:space="preserve"> </w:t>
      </w:r>
      <w:r>
        <w:t>Both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these</w:t>
      </w:r>
      <w:r w:rsidR="00B71607" w:rsidRPr="00B71607">
        <w:t xml:space="preserve"> </w:t>
      </w:r>
      <w:r>
        <w:t>vary</w:t>
      </w:r>
      <w:r w:rsidR="00B71607" w:rsidRPr="00B71607">
        <w:t xml:space="preserve"> </w:t>
      </w:r>
      <w:r>
        <w:t>cyclica</w:t>
      </w:r>
      <w:r>
        <w:t>l</w:t>
      </w:r>
      <w:r>
        <w:t>ly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varia</w:t>
      </w:r>
      <w:r w:rsidR="005A77B4">
        <w:t>tion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erased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measuring</w:t>
      </w:r>
      <w:r w:rsidR="00B71607" w:rsidRPr="00B71607">
        <w:t xml:space="preserve"> </w:t>
      </w:r>
      <w:r>
        <w:t>them</w:t>
      </w:r>
      <w:r w:rsidR="00B71607" w:rsidRPr="00B71607">
        <w:t xml:space="preserve"> </w:t>
      </w:r>
      <w:r>
        <w:t>at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benchmark</w:t>
      </w:r>
      <w:r w:rsidR="00B71607" w:rsidRPr="00B71607">
        <w:t xml:space="preserve"> </w:t>
      </w:r>
      <w:r>
        <w:t>set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proofErr w:type="spellStart"/>
      <w:r w:rsidRPr="002A0AB8">
        <w:rPr>
          <w:b/>
          <w:i/>
        </w:rPr>
        <w:t>u</w:t>
      </w:r>
      <w:r w:rsidR="00150B85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>
        <w:t>(with</w:t>
      </w:r>
      <w:r w:rsidR="00B71607" w:rsidRPr="00B71607">
        <w:t xml:space="preserve"> </w:t>
      </w:r>
      <w:r w:rsidR="0071403C">
        <w:rPr>
          <w:b/>
        </w:rPr>
        <w:t>Y</w:t>
      </w:r>
      <w:r w:rsidR="00B71607" w:rsidRPr="00B71607">
        <w:t xml:space="preserve"> </w:t>
      </w:r>
      <w:r>
        <w:t>=</w:t>
      </w:r>
      <w:r w:rsidR="00B71607" w:rsidRPr="00B71607">
        <w:t xml:space="preserve"> </w:t>
      </w:r>
      <w:r>
        <w:rPr>
          <w:b/>
        </w:rPr>
        <w:t>F</w:t>
      </w:r>
      <w:r w:rsidR="002E057D">
        <w:t>),</w:t>
      </w:r>
      <w:r w:rsidR="00B71607" w:rsidRPr="00B71607">
        <w:t xml:space="preserve"> </w:t>
      </w:r>
      <w:r w:rsidR="00163C69">
        <w:t xml:space="preserve">in parallel to </w:t>
      </w:r>
      <w:r w:rsidR="002E057D">
        <w:t>the</w:t>
      </w:r>
      <w:r w:rsidR="00B71607" w:rsidRPr="00B71607">
        <w:t xml:space="preserve"> </w:t>
      </w:r>
      <w:r w:rsidR="002E057D">
        <w:t>government’s</w:t>
      </w:r>
      <w:r w:rsidR="00B71607" w:rsidRPr="00B71607">
        <w:t xml:space="preserve"> </w:t>
      </w:r>
      <w:r w:rsidR="00163C69">
        <w:t xml:space="preserve">calculation of its </w:t>
      </w:r>
      <w:r w:rsidR="002E057D">
        <w:t>cyclically-corrected</w:t>
      </w:r>
      <w:r w:rsidR="00B71607" w:rsidRPr="00B71607">
        <w:t xml:space="preserve"> </w:t>
      </w:r>
      <w:r w:rsidR="002E057D">
        <w:t>budget.</w:t>
      </w:r>
      <w:r w:rsidR="00B71607" w:rsidRPr="00B71607">
        <w:t xml:space="preserve"> </w:t>
      </w:r>
      <w:r w:rsidR="005A77B4">
        <w:t>This</w:t>
      </w:r>
      <w:r w:rsidR="00B71607" w:rsidRPr="00B71607">
        <w:t xml:space="preserve"> </w:t>
      </w:r>
      <w:r w:rsidR="005A77B4">
        <w:t>allow</w:t>
      </w:r>
      <w:r w:rsidR="00150B85">
        <w:t>s</w:t>
      </w:r>
      <w:r w:rsidR="00B71607" w:rsidRPr="00B71607">
        <w:t xml:space="preserve"> </w:t>
      </w:r>
      <w:r w:rsidR="00150B85">
        <w:t>us</w:t>
      </w:r>
      <w:r w:rsidR="00B71607" w:rsidRPr="00B71607">
        <w:t xml:space="preserve"> </w:t>
      </w:r>
      <w:r w:rsidR="005A77B4">
        <w:t>to</w:t>
      </w:r>
      <w:r w:rsidR="00B71607" w:rsidRPr="00B71607">
        <w:t xml:space="preserve"> </w:t>
      </w:r>
      <w:r>
        <w:t>treat</w:t>
      </w:r>
      <w:r w:rsidR="00B71607" w:rsidRPr="00B71607">
        <w:t xml:space="preserve"> </w:t>
      </w:r>
      <w:r>
        <w:rPr>
          <w:b/>
          <w:i/>
        </w:rPr>
        <w:t>m</w:t>
      </w:r>
      <w:r>
        <w:t>,</w:t>
      </w:r>
      <w:r w:rsidR="00B71607" w:rsidRPr="00B71607">
        <w:t xml:space="preserve"> </w:t>
      </w:r>
      <w:r>
        <w:rPr>
          <w:b/>
          <w:i/>
        </w:rPr>
        <w:t>n</w:t>
      </w:r>
      <w:r>
        <w:t>,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proofErr w:type="spellStart"/>
      <w:r w:rsidRPr="002A0AB8">
        <w:rPr>
          <w:b/>
          <w:i/>
        </w:rPr>
        <w:t>u</w:t>
      </w:r>
      <w:r w:rsidR="00150B85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2452EA">
        <w:t>not</w:t>
      </w:r>
      <w:r w:rsidR="00B71607" w:rsidRPr="00B71607">
        <w:t xml:space="preserve"> </w:t>
      </w:r>
      <w:r w:rsidR="002452EA">
        <w:t>only</w:t>
      </w:r>
      <w:r w:rsidR="00B71607" w:rsidRPr="00B71607">
        <w:t xml:space="preserve"> </w:t>
      </w:r>
      <w:r w:rsidR="002452EA">
        <w:t>as</w:t>
      </w:r>
      <w:r w:rsidR="00B71607" w:rsidRPr="00B71607">
        <w:t xml:space="preserve"> </w:t>
      </w:r>
      <w:r w:rsidR="00C038E8">
        <w:t>independent</w:t>
      </w:r>
      <w:r w:rsidR="00B71607" w:rsidRPr="00B71607">
        <w:t xml:space="preserve"> </w:t>
      </w:r>
      <w:r w:rsidR="00C038E8">
        <w:t>of</w:t>
      </w:r>
      <w:r w:rsidR="00B71607" w:rsidRPr="00B71607">
        <w:t xml:space="preserve"> </w:t>
      </w:r>
      <w:r w:rsidR="00C038E8">
        <w:t>each</w:t>
      </w:r>
      <w:r w:rsidR="00B71607" w:rsidRPr="00B71607">
        <w:t xml:space="preserve"> </w:t>
      </w:r>
      <w:r w:rsidR="00C038E8">
        <w:t>other</w:t>
      </w:r>
      <w:r w:rsidR="00B71607" w:rsidRPr="00B71607">
        <w:t xml:space="preserve"> </w:t>
      </w:r>
      <w:r w:rsidR="002452EA">
        <w:t>but</w:t>
      </w:r>
      <w:r w:rsidR="00B71607" w:rsidRPr="00B71607">
        <w:t xml:space="preserve"> </w:t>
      </w:r>
      <w:r w:rsidR="002452EA">
        <w:t>as</w:t>
      </w:r>
      <w:r w:rsidR="00B71607" w:rsidRPr="00B71607">
        <w:t xml:space="preserve"> </w:t>
      </w:r>
      <w:r>
        <w:t>exogenously</w:t>
      </w:r>
      <w:r w:rsidR="00B71607" w:rsidRPr="00B71607">
        <w:t xml:space="preserve"> </w:t>
      </w:r>
      <w:r>
        <w:t>given</w:t>
      </w:r>
      <w:r w:rsidR="00B71607" w:rsidRPr="00B71607">
        <w:t xml:space="preserve"> </w:t>
      </w:r>
      <w:r>
        <w:t>during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HMR.</w:t>
      </w:r>
      <w:r w:rsidR="00B71607" w:rsidRPr="00B71607">
        <w:t xml:space="preserve"> </w:t>
      </w:r>
      <w:r w:rsidR="00DE1EE4">
        <w:t>Th</w:t>
      </w:r>
      <w:r w:rsidR="00EA029D">
        <w:t>us</w:t>
      </w:r>
      <w:r w:rsidR="00DE1EE4">
        <w:t>,</w:t>
      </w:r>
      <w:r w:rsidR="00B71607" w:rsidRPr="00B71607">
        <w:t xml:space="preserve"> </w:t>
      </w:r>
      <w:r w:rsidR="00163C69">
        <w:t>Harrod’s “natural” growth rate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15"/>
      </w:tblGrid>
      <w:tr w:rsidR="00C55ADD" w:rsidTr="00E77D51">
        <w:trPr>
          <w:jc w:val="center"/>
        </w:trPr>
        <w:tc>
          <w:tcPr>
            <w:tcW w:w="8545" w:type="dxa"/>
            <w:hideMark/>
          </w:tcPr>
          <w:p w:rsidR="00C55ADD" w:rsidRPr="00DE5A20" w:rsidRDefault="0050743F" w:rsidP="000139EE">
            <w:pPr>
              <w:pStyle w:val="H4"/>
              <w:numPr>
                <w:ilvl w:val="0"/>
                <w:numId w:val="0"/>
              </w:numPr>
              <w:jc w:val="center"/>
              <w:outlineLvl w:val="9"/>
            </w:pPr>
            <w:proofErr w:type="spellStart"/>
            <w:r>
              <w:rPr>
                <w:b/>
              </w:rPr>
              <w:lastRenderedPageBreak/>
              <w:t>g</w:t>
            </w:r>
            <w:r w:rsidR="00C55ADD">
              <w:rPr>
                <w:b/>
                <w:smallCaps/>
                <w:vertAlign w:val="subscript"/>
              </w:rPr>
              <w:t>f</w:t>
            </w:r>
            <w:proofErr w:type="spellEnd"/>
            <w:r w:rsidR="00B71607" w:rsidRPr="00B71607">
              <w:t xml:space="preserve"> </w:t>
            </w:r>
            <w:r w:rsidR="00C55ADD">
              <w:t>=</w:t>
            </w:r>
            <w:r w:rsidR="00B71607" w:rsidRPr="00B71607">
              <w:t xml:space="preserve"> </w:t>
            </w:r>
            <w:r w:rsidR="00C55ADD" w:rsidRPr="008F14FD">
              <w:rPr>
                <w:b/>
                <w:i/>
              </w:rPr>
              <w:t>n</w:t>
            </w:r>
            <w:r w:rsidR="00B71607" w:rsidRPr="00B71607">
              <w:t xml:space="preserve"> </w:t>
            </w:r>
            <w:r w:rsidR="00C55ADD">
              <w:t>+</w:t>
            </w:r>
            <w:r w:rsidR="00B71607" w:rsidRPr="00B71607">
              <w:t xml:space="preserve"> </w:t>
            </w:r>
            <w:r w:rsidR="00C55ADD" w:rsidRPr="008F14FD">
              <w:rPr>
                <w:b/>
                <w:i/>
              </w:rPr>
              <w:t>m</w:t>
            </w:r>
            <w:r w:rsidR="00B71607" w:rsidRPr="00B71607">
              <w:t xml:space="preserve"> </w:t>
            </w:r>
            <w:r w:rsidR="00DE5A20">
              <w:t>assumed</w:t>
            </w:r>
            <w:r w:rsidR="00B71607" w:rsidRPr="00B71607">
              <w:t xml:space="preserve"> </w:t>
            </w:r>
            <w:r w:rsidR="00DE5A20">
              <w:t>to</w:t>
            </w:r>
            <w:r w:rsidR="00B71607" w:rsidRPr="00B71607">
              <w:t xml:space="preserve"> </w:t>
            </w:r>
            <w:r w:rsidR="00DE5A20">
              <w:t>be</w:t>
            </w:r>
            <w:r w:rsidR="00B71607" w:rsidRPr="00B71607">
              <w:t xml:space="preserve"> </w:t>
            </w:r>
            <w:r w:rsidR="00DE5A20">
              <w:t>positive.</w:t>
            </w:r>
          </w:p>
        </w:tc>
        <w:tc>
          <w:tcPr>
            <w:tcW w:w="815" w:type="dxa"/>
            <w:hideMark/>
          </w:tcPr>
          <w:p w:rsidR="00C55ADD" w:rsidRDefault="008501D8" w:rsidP="00666531">
            <w:pPr>
              <w:pStyle w:val="H4"/>
              <w:numPr>
                <w:ilvl w:val="0"/>
                <w:numId w:val="0"/>
              </w:numPr>
              <w:outlineLvl w:val="9"/>
            </w:pPr>
            <w:bookmarkStart w:id="28" w:name="_Ref407870008"/>
            <w:r>
              <w:t>(</w:t>
            </w:r>
            <w:r w:rsidR="00321870">
              <w:fldChar w:fldCharType="begin"/>
            </w:r>
            <w:r w:rsidR="00321870">
              <w:instrText xml:space="preserve"> SEQ Equation \* ARABIC </w:instrText>
            </w:r>
            <w:r w:rsidR="00321870">
              <w:fldChar w:fldCharType="separate"/>
            </w:r>
            <w:r w:rsidR="00292438">
              <w:rPr>
                <w:noProof/>
              </w:rPr>
              <w:t>11</w:t>
            </w:r>
            <w:r w:rsidR="00321870">
              <w:rPr>
                <w:noProof/>
              </w:rPr>
              <w:fldChar w:fldCharType="end"/>
            </w:r>
            <w:r w:rsidR="00C55ADD">
              <w:t>)</w:t>
            </w:r>
            <w:bookmarkEnd w:id="28"/>
          </w:p>
        </w:tc>
      </w:tr>
    </w:tbl>
    <w:p w:rsidR="009C1BA4" w:rsidRDefault="00E77D51" w:rsidP="00666531">
      <w:pPr>
        <w:spacing w:line="240" w:lineRule="auto"/>
      </w:pPr>
      <w:r>
        <w:t>Among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>
        <w:t>things,</w:t>
      </w:r>
      <w:r w:rsidR="00B71607" w:rsidRPr="00B71607">
        <w:t xml:space="preserve"> </w:t>
      </w:r>
      <w:r>
        <w:t>treating</w:t>
      </w:r>
      <w:r w:rsidR="00B71607" w:rsidRPr="00B71607">
        <w:t xml:space="preserve"> </w:t>
      </w:r>
      <w:r>
        <w:t>these</w:t>
      </w:r>
      <w:r w:rsidR="00B71607" w:rsidRPr="00B71607">
        <w:t xml:space="preserve"> </w:t>
      </w:r>
      <w:r>
        <w:t>coefficients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parameters</w:t>
      </w:r>
      <w:r w:rsidR="00B71607" w:rsidRPr="00B71607">
        <w:t xml:space="preserve"> </w:t>
      </w:r>
      <w:r>
        <w:t>rules</w:t>
      </w:r>
      <w:r w:rsidR="00B71607" w:rsidRPr="00B71607">
        <w:t xml:space="preserve"> </w:t>
      </w:r>
      <w:r>
        <w:t>out</w:t>
      </w:r>
      <w:r w:rsidR="00B71607" w:rsidRPr="00B71607">
        <w:t xml:space="preserve"> </w:t>
      </w:r>
      <w:r>
        <w:t>endogenous</w:t>
      </w:r>
      <w:r w:rsidR="00B71607" w:rsidRPr="00B71607">
        <w:t xml:space="preserve"> </w:t>
      </w:r>
      <w:r>
        <w:t>a</w:t>
      </w:r>
      <w:r>
        <w:t>d</w:t>
      </w:r>
      <w:r>
        <w:t>justment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labor-power</w:t>
      </w:r>
      <w:r w:rsidR="00B71607" w:rsidRPr="00B71607">
        <w:t xml:space="preserve"> </w:t>
      </w:r>
      <w:r>
        <w:t>supply</w:t>
      </w:r>
      <w:r w:rsidR="00B71607" w:rsidRPr="00B71607">
        <w:t xml:space="preserve"> </w:t>
      </w:r>
      <w:r>
        <w:t>due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wage</w:t>
      </w:r>
      <w:r w:rsidR="00B71607" w:rsidRPr="00B71607">
        <w:t xml:space="preserve"> </w:t>
      </w:r>
      <w:r>
        <w:t>changes</w:t>
      </w:r>
      <w:r w:rsidR="00B71607" w:rsidRPr="00B71607">
        <w:t xml:space="preserve"> </w:t>
      </w:r>
      <w:r w:rsidR="00150B85">
        <w:t>(cf.</w:t>
      </w:r>
      <w:r w:rsidR="00B71607" w:rsidRPr="00B71607">
        <w:t xml:space="preserve"> </w:t>
      </w:r>
      <w:r w:rsidR="00150B85">
        <w:t>Solow,</w:t>
      </w:r>
      <w:r w:rsidR="00B71607" w:rsidRPr="00B71607">
        <w:t xml:space="preserve"> </w:t>
      </w:r>
      <w:r w:rsidR="00150B85">
        <w:t>1956)</w:t>
      </w:r>
      <w:r>
        <w:t>.</w:t>
      </w:r>
      <w:r w:rsidR="00B71607" w:rsidRPr="00B71607">
        <w:t xml:space="preserve"> </w:t>
      </w:r>
      <w:r w:rsidR="00D4213A" w:rsidRPr="00D4213A">
        <w:rPr>
          <w:noProof/>
        </w:rPr>
        <w:t>Harrod’s</w:t>
      </w:r>
      <w:r w:rsidR="00B71607" w:rsidRPr="00B71607">
        <w:t xml:space="preserve"> </w:t>
      </w:r>
      <w:r w:rsidR="00D80442">
        <w:t>anal</w:t>
      </w:r>
      <w:r w:rsidR="00D80442">
        <w:t>y</w:t>
      </w:r>
      <w:r w:rsidR="00D80442">
        <w:t>sis</w:t>
      </w:r>
      <w:r w:rsidR="00B71607" w:rsidRPr="00B71607">
        <w:t xml:space="preserve"> </w:t>
      </w:r>
      <w:r w:rsidR="00083D70">
        <w:t>also</w:t>
      </w:r>
      <w:r w:rsidR="00B71607" w:rsidRPr="00B71607">
        <w:t xml:space="preserve"> </w:t>
      </w:r>
      <w:r w:rsidR="009C1BA4">
        <w:t>elides</w:t>
      </w:r>
      <w:r w:rsidR="00B71607" w:rsidRPr="00B71607">
        <w:t xml:space="preserve"> </w:t>
      </w:r>
      <w:r w:rsidR="00DE1EC1">
        <w:t>the</w:t>
      </w:r>
      <w:r w:rsidR="00B71607" w:rsidRPr="00B71607">
        <w:t xml:space="preserve"> </w:t>
      </w:r>
      <w:r w:rsidR="00422767">
        <w:t>possible</w:t>
      </w:r>
      <w:r w:rsidR="00B71607" w:rsidRPr="00B71607">
        <w:t xml:space="preserve"> </w:t>
      </w:r>
      <w:r w:rsidR="00422767">
        <w:t>endogeneity</w:t>
      </w:r>
      <w:r w:rsidR="00B71607" w:rsidRPr="00B71607">
        <w:t xml:space="preserve"> </w:t>
      </w:r>
      <w:r w:rsidR="00422767">
        <w:t>of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422767">
        <w:rPr>
          <w:b/>
          <w:smallCaps/>
          <w:vertAlign w:val="subscript"/>
        </w:rPr>
        <w:t>F</w:t>
      </w:r>
      <w:proofErr w:type="spellEnd"/>
      <w:r w:rsidR="00083D70">
        <w:t>.</w:t>
      </w:r>
      <w:r w:rsidR="00B71607" w:rsidRPr="00B71607">
        <w:t xml:space="preserve"> </w:t>
      </w:r>
      <w:r w:rsidR="00083D70">
        <w:t>Empirical</w:t>
      </w:r>
      <w:r w:rsidR="00B71607" w:rsidRPr="00B71607">
        <w:t xml:space="preserve"> </w:t>
      </w:r>
      <w:r w:rsidR="00083D70">
        <w:t>analysis</w:t>
      </w:r>
      <w:r w:rsidR="00B71607" w:rsidRPr="00B71607">
        <w:t xml:space="preserve"> </w:t>
      </w:r>
      <w:r w:rsidR="00083D70">
        <w:t>suggests</w:t>
      </w:r>
      <w:r w:rsidR="00B71607" w:rsidRPr="00B71607">
        <w:t xml:space="preserve"> </w:t>
      </w:r>
      <w:r w:rsidR="00083D70">
        <w:t>that</w:t>
      </w:r>
      <w:r w:rsidR="00B71607" w:rsidRPr="00B71607">
        <w:t xml:space="preserve"> </w:t>
      </w:r>
    </w:p>
    <w:p w:rsidR="009C1BA4" w:rsidRDefault="00D80442" w:rsidP="009C1BA4">
      <w:pPr>
        <w:numPr>
          <w:ilvl w:val="0"/>
          <w:numId w:val="34"/>
        </w:numPr>
        <w:spacing w:line="240" w:lineRule="auto"/>
      </w:pPr>
      <w:r>
        <w:t>sustained</w:t>
      </w:r>
      <w:r w:rsidR="00B71607" w:rsidRPr="00B71607">
        <w:t xml:space="preserve"> </w:t>
      </w:r>
      <w:r w:rsidR="00D0065B">
        <w:t>low</w:t>
      </w:r>
      <w:r w:rsidR="00B71607" w:rsidRPr="00B71607">
        <w:t xml:space="preserve"> </w:t>
      </w:r>
      <w:r>
        <w:t>demand</w:t>
      </w:r>
      <w:r w:rsidR="00B71607" w:rsidRPr="00B71607">
        <w:t xml:space="preserve"> </w:t>
      </w:r>
      <w:r w:rsidR="00D0065B">
        <w:t>growth</w:t>
      </w:r>
      <w:r w:rsidR="00B71607" w:rsidRPr="00B71607">
        <w:t xml:space="preserve"> </w:t>
      </w:r>
      <w:r w:rsidR="00E1663F">
        <w:t>can</w:t>
      </w:r>
      <w:r w:rsidR="00B71607" w:rsidRPr="00B71607">
        <w:t xml:space="preserve"> </w:t>
      </w:r>
      <w:r w:rsidR="00D0065B">
        <w:t>reduce</w:t>
      </w:r>
      <w:r w:rsidR="00B71607" w:rsidRPr="00B71607">
        <w:t xml:space="preserve"> </w:t>
      </w:r>
      <w:r>
        <w:rPr>
          <w:b/>
          <w:i/>
        </w:rPr>
        <w:t>m</w:t>
      </w:r>
      <w:r w:rsidR="00B71607" w:rsidRPr="00B71607">
        <w:t xml:space="preserve"> </w:t>
      </w:r>
      <w:r w:rsidR="0013113E">
        <w:t>following</w:t>
      </w:r>
      <w:r w:rsidR="00B71607" w:rsidRPr="00B71607">
        <w:t xml:space="preserve"> </w:t>
      </w:r>
      <w:r>
        <w:t>Verdoorn’s</w:t>
      </w:r>
      <w:r w:rsidR="00B71607" w:rsidRPr="00B71607">
        <w:t xml:space="preserve"> </w:t>
      </w:r>
      <w:r w:rsidR="007C4CCD">
        <w:t>empirical</w:t>
      </w:r>
      <w:r w:rsidR="00B71607" w:rsidRPr="00B71607">
        <w:t xml:space="preserve"> </w:t>
      </w:r>
      <w:r w:rsidR="007C4CCD">
        <w:t>gene</w:t>
      </w:r>
      <w:r w:rsidR="007C4CCD">
        <w:t>r</w:t>
      </w:r>
      <w:r w:rsidR="007C4CCD">
        <w:t>alization</w:t>
      </w:r>
      <w:r w:rsidR="00B71607" w:rsidRPr="00B71607">
        <w:t xml:space="preserve"> </w:t>
      </w:r>
      <w:r w:rsidR="007C4CCD">
        <w:t>(</w:t>
      </w:r>
      <w:r>
        <w:t>“</w:t>
      </w:r>
      <w:r w:rsidR="00150B85">
        <w:t>l</w:t>
      </w:r>
      <w:r w:rsidR="001B01B7">
        <w:t>aw”</w:t>
      </w:r>
      <w:r w:rsidR="007C4CCD">
        <w:t>),</w:t>
      </w:r>
      <w:r w:rsidR="00B71607" w:rsidRPr="00B71607">
        <w:t xml:space="preserve"> </w:t>
      </w:r>
      <w:r w:rsidR="00C158C0">
        <w:t>(</w:t>
      </w:r>
      <w:r w:rsidR="001B01B7">
        <w:t>Michl,</w:t>
      </w:r>
      <w:r w:rsidR="00B71607" w:rsidRPr="00B71607">
        <w:t xml:space="preserve"> </w:t>
      </w:r>
      <w:r w:rsidR="00753532">
        <w:t>19</w:t>
      </w:r>
      <w:r w:rsidR="00EF7558">
        <w:t>85)</w:t>
      </w:r>
      <w:r w:rsidR="009C1BA4">
        <w:t>;</w:t>
      </w:r>
      <w:r w:rsidR="00B71607" w:rsidRPr="00B71607">
        <w:t xml:space="preserve"> </w:t>
      </w:r>
      <w:r w:rsidR="00DE1EC1">
        <w:t>and</w:t>
      </w:r>
      <w:r w:rsidR="00B71607" w:rsidRPr="00B71607">
        <w:t xml:space="preserve"> </w:t>
      </w:r>
      <w:r w:rsidR="009C1BA4">
        <w:t>that</w:t>
      </w:r>
      <w:r w:rsidR="00B71607" w:rsidRPr="00B71607">
        <w:t xml:space="preserve"> </w:t>
      </w:r>
    </w:p>
    <w:p w:rsidR="009C1BA4" w:rsidRDefault="00D80442" w:rsidP="009C1BA4">
      <w:pPr>
        <w:numPr>
          <w:ilvl w:val="0"/>
          <w:numId w:val="34"/>
        </w:numPr>
        <w:spacing w:line="240" w:lineRule="auto"/>
      </w:pPr>
      <w:r>
        <w:t>persistent</w:t>
      </w:r>
      <w:r w:rsidR="00B71607" w:rsidRPr="00B71607">
        <w:t xml:space="preserve"> </w:t>
      </w:r>
      <w:r w:rsidR="00D0065B">
        <w:t>low</w:t>
      </w:r>
      <w:r w:rsidR="00B71607" w:rsidRPr="00B71607">
        <w:t xml:space="preserve"> </w:t>
      </w:r>
      <w:r>
        <w:t>employment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 w:rsidR="00D0065B">
        <w:t>raise</w:t>
      </w:r>
      <w:r w:rsidR="00B71607" w:rsidRPr="00B71607">
        <w:t xml:space="preserve"> </w:t>
      </w:r>
      <w:proofErr w:type="spellStart"/>
      <w:r w:rsidR="002A0AB8" w:rsidRPr="002A0AB8">
        <w:rPr>
          <w:b/>
          <w:i/>
        </w:rPr>
        <w:t>u</w:t>
      </w:r>
      <w:r w:rsidR="00150B85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C158C0">
        <w:t>following</w:t>
      </w:r>
      <w:r w:rsidR="00B71607" w:rsidRPr="00B71607">
        <w:t xml:space="preserve"> </w:t>
      </w:r>
      <w:r w:rsidR="00C158C0">
        <w:t>the</w:t>
      </w:r>
      <w:r w:rsidR="00B71607" w:rsidRPr="00B71607">
        <w:t xml:space="preserve"> </w:t>
      </w:r>
      <w:r w:rsidR="00C158C0">
        <w:t>more</w:t>
      </w:r>
      <w:r w:rsidR="00B71607" w:rsidRPr="00B71607">
        <w:t xml:space="preserve"> </w:t>
      </w:r>
      <w:r w:rsidR="00C158C0">
        <w:t>famous</w:t>
      </w:r>
      <w:r w:rsidR="00B71607" w:rsidRPr="00B71607">
        <w:t xml:space="preserve"> </w:t>
      </w:r>
      <w:r w:rsidR="00C158C0">
        <w:t>hysteresis</w:t>
      </w:r>
      <w:r w:rsidR="00B71607" w:rsidRPr="00B71607">
        <w:t xml:space="preserve"> </w:t>
      </w:r>
      <w:r w:rsidR="00C158C0">
        <w:t>h</w:t>
      </w:r>
      <w:r w:rsidR="00C158C0">
        <w:t>y</w:t>
      </w:r>
      <w:r w:rsidR="00C158C0">
        <w:t>pothesis</w:t>
      </w:r>
      <w:r w:rsidR="00B71607" w:rsidRPr="00B71607">
        <w:t xml:space="preserve"> </w:t>
      </w:r>
      <w:r w:rsidR="00C158C0">
        <w:t>(Hargreaves</w:t>
      </w:r>
      <w:r w:rsidR="00B71607" w:rsidRPr="00B71607">
        <w:t xml:space="preserve"> </w:t>
      </w:r>
      <w:r w:rsidR="00C158C0">
        <w:t>Heap,</w:t>
      </w:r>
      <w:r w:rsidR="00B71607" w:rsidRPr="00B71607">
        <w:t xml:space="preserve"> </w:t>
      </w:r>
      <w:r w:rsidR="00C158C0">
        <w:t>19</w:t>
      </w:r>
      <w:r w:rsidR="009C1BA4">
        <w:t>80</w:t>
      </w:r>
      <w:r w:rsidR="00C158C0">
        <w:t>)</w:t>
      </w:r>
      <w:r w:rsidR="00B71607" w:rsidRPr="00B71607">
        <w:t xml:space="preserve"> </w:t>
      </w:r>
      <w:r w:rsidR="00A51A0C">
        <w:t xml:space="preserve">or discourage in-migration </w:t>
      </w:r>
      <w:r>
        <w:t>and</w:t>
      </w:r>
      <w:r w:rsidR="00B71607" w:rsidRPr="00B71607">
        <w:t xml:space="preserve"> </w:t>
      </w:r>
      <w:r w:rsidR="00DE1EC1">
        <w:t>thus</w:t>
      </w:r>
      <w:r w:rsidR="00B71607" w:rsidRPr="00B71607">
        <w:t xml:space="preserve"> </w:t>
      </w:r>
      <w:r w:rsidR="00EA029D">
        <w:t>reduce</w:t>
      </w:r>
      <w:r w:rsidR="00B71607" w:rsidRPr="00B71607">
        <w:t xml:space="preserve"> </w:t>
      </w:r>
      <w:r>
        <w:rPr>
          <w:b/>
          <w:i/>
        </w:rPr>
        <w:t>n</w:t>
      </w:r>
      <w:r>
        <w:t>.</w:t>
      </w:r>
      <w:r w:rsidR="00B71607" w:rsidRPr="00B71607">
        <w:t xml:space="preserve"> </w:t>
      </w:r>
    </w:p>
    <w:p w:rsidR="00C55ADD" w:rsidRDefault="00C158C0" w:rsidP="009C1BA4">
      <w:pPr>
        <w:spacing w:line="240" w:lineRule="auto"/>
      </w:pPr>
      <w:r>
        <w:t>Conversely</w:t>
      </w:r>
      <w:r w:rsidR="00FB32E8">
        <w:t>,</w:t>
      </w:r>
      <w:r w:rsidR="00B71607" w:rsidRPr="00B71607">
        <w:t xml:space="preserve"> </w:t>
      </w:r>
      <w:r w:rsidR="00FB32E8">
        <w:t>in</w:t>
      </w:r>
      <w:r w:rsidR="00B71607" w:rsidRPr="00B71607">
        <w:t xml:space="preserve"> </w:t>
      </w:r>
      <w:r w:rsidR="00D0065B">
        <w:t>moderate</w:t>
      </w:r>
      <w:r w:rsidR="00B71607" w:rsidRPr="00B71607">
        <w:t xml:space="preserve"> </w:t>
      </w:r>
      <w:r w:rsidR="00D0065B">
        <w:t>case</w:t>
      </w:r>
      <w:r>
        <w:t>s</w:t>
      </w:r>
      <w:r w:rsidR="00B71607" w:rsidRPr="00B71607">
        <w:t xml:space="preserve"> </w:t>
      </w:r>
      <w:r w:rsidR="00D0065B">
        <w:t>that</w:t>
      </w:r>
      <w:r w:rsidR="00B71607" w:rsidRPr="00B71607">
        <w:t xml:space="preserve"> </w:t>
      </w:r>
      <w:r>
        <w:t>avoid</w:t>
      </w:r>
      <w:r w:rsidR="00B71607" w:rsidRPr="00B71607">
        <w:t xml:space="preserve"> </w:t>
      </w:r>
      <w:r w:rsidR="00D0065B">
        <w:t>serious</w:t>
      </w:r>
      <w:r w:rsidR="00B71607" w:rsidRPr="00B71607">
        <w:t xml:space="preserve"> </w:t>
      </w:r>
      <w:r w:rsidR="00D0065B">
        <w:t>inflation,</w:t>
      </w:r>
      <w:r w:rsidR="00B71607" w:rsidRPr="00B71607">
        <w:t xml:space="preserve"> </w:t>
      </w:r>
      <w:r w:rsidR="00D0065B">
        <w:t>high</w:t>
      </w:r>
      <w:r w:rsidR="00B71607" w:rsidRPr="00B71607">
        <w:t xml:space="preserve"> </w:t>
      </w:r>
      <w:r w:rsidR="00D0065B">
        <w:t>demand</w:t>
      </w:r>
      <w:r w:rsidR="00B71607" w:rsidRPr="00B71607">
        <w:t xml:space="preserve"> </w:t>
      </w:r>
      <w:r w:rsidR="00D0065B">
        <w:t>growth</w:t>
      </w:r>
      <w:r w:rsidR="00B71607" w:rsidRPr="00B71607">
        <w:t xml:space="preserve"> </w:t>
      </w:r>
      <w:r w:rsidR="00D0065B">
        <w:t>and</w:t>
      </w:r>
      <w:r w:rsidR="00B71607" w:rsidRPr="00B71607">
        <w:t xml:space="preserve"> </w:t>
      </w:r>
      <w:r w:rsidR="00D0065B">
        <w:t>e</w:t>
      </w:r>
      <w:r w:rsidR="00D0065B">
        <w:t>m</w:t>
      </w:r>
      <w:r w:rsidR="00D0065B">
        <w:t>ployment</w:t>
      </w:r>
      <w:r w:rsidR="00B71607" w:rsidRPr="00B71607">
        <w:t xml:space="preserve"> </w:t>
      </w:r>
      <w:r w:rsidR="00083D70">
        <w:t>can</w:t>
      </w:r>
      <w:r w:rsidR="00B71607" w:rsidRPr="00B71607">
        <w:t xml:space="preserve"> </w:t>
      </w:r>
      <w:r w:rsidR="00D0065B">
        <w:t>raise</w:t>
      </w:r>
      <w:r w:rsidR="00B71607" w:rsidRPr="00B71607">
        <w:t xml:space="preserve"> </w:t>
      </w:r>
      <w:proofErr w:type="spellStart"/>
      <w:r w:rsidR="00D0065B">
        <w:rPr>
          <w:b/>
        </w:rPr>
        <w:t>g</w:t>
      </w:r>
      <w:r w:rsidR="00D0065B">
        <w:rPr>
          <w:b/>
          <w:smallCaps/>
          <w:vertAlign w:val="subscript"/>
        </w:rPr>
        <w:t>f</w:t>
      </w:r>
      <w:proofErr w:type="spellEnd"/>
      <w:r w:rsidR="00D0065B">
        <w:t>.</w:t>
      </w:r>
      <w:r w:rsidR="00B71607" w:rsidRPr="00B71607">
        <w:t xml:space="preserve"> </w:t>
      </w:r>
      <w:r w:rsidR="00753532">
        <w:t>But</w:t>
      </w:r>
      <w:r w:rsidR="00B71607" w:rsidRPr="00B71607">
        <w:t xml:space="preserve"> </w:t>
      </w:r>
      <w:r w:rsidR="00D4213A" w:rsidRPr="00D4213A">
        <w:rPr>
          <w:noProof/>
        </w:rPr>
        <w:t>Harrod’s</w:t>
      </w:r>
      <w:r w:rsidR="00B71607" w:rsidRPr="00B71607">
        <w:t xml:space="preserve"> </w:t>
      </w:r>
      <w:r w:rsidR="00D372F4">
        <w:t>long-run</w:t>
      </w:r>
      <w:r w:rsidR="00B71607" w:rsidRPr="00B71607">
        <w:t xml:space="preserve"> </w:t>
      </w:r>
      <w:r w:rsidR="00753532">
        <w:t>analysis,</w:t>
      </w:r>
      <w:r w:rsidR="00B71607" w:rsidRPr="00B71607">
        <w:t xml:space="preserve"> </w:t>
      </w:r>
      <w:r w:rsidR="00753532">
        <w:t>like</w:t>
      </w:r>
      <w:r w:rsidR="00B71607" w:rsidRPr="00B71607">
        <w:t xml:space="preserve"> </w:t>
      </w:r>
      <w:r w:rsidR="00753532">
        <w:t>the</w:t>
      </w:r>
      <w:r w:rsidR="00B71607" w:rsidRPr="00B71607">
        <w:t xml:space="preserve"> </w:t>
      </w:r>
      <w:r w:rsidR="00753532">
        <w:t>later</w:t>
      </w:r>
      <w:r w:rsidR="00B71607" w:rsidRPr="00B71607">
        <w:t xml:space="preserve"> </w:t>
      </w:r>
      <w:r w:rsidR="00753532">
        <w:t>NC</w:t>
      </w:r>
      <w:r w:rsidR="00B71607" w:rsidRPr="00B71607">
        <w:t xml:space="preserve"> </w:t>
      </w:r>
      <w:r w:rsidR="00753532">
        <w:t>ones,</w:t>
      </w:r>
      <w:r w:rsidR="00B71607" w:rsidRPr="00B71607">
        <w:t xml:space="preserve"> </w:t>
      </w:r>
      <w:r w:rsidR="00753532">
        <w:t>ignores</w:t>
      </w:r>
      <w:r w:rsidR="00B71607" w:rsidRPr="00B71607">
        <w:t xml:space="preserve"> </w:t>
      </w:r>
      <w:r w:rsidR="00753532">
        <w:t>these</w:t>
      </w:r>
      <w:r w:rsidR="00B71607" w:rsidRPr="00B71607">
        <w:t xml:space="preserve"> </w:t>
      </w:r>
      <w:r w:rsidR="00753532">
        <w:t>possibilities.</w:t>
      </w:r>
      <w:r w:rsidR="00B71607" w:rsidRPr="00B71607">
        <w:t xml:space="preserve"> </w:t>
      </w:r>
      <w:r w:rsidR="00163C69">
        <w:t>However, their changes might be introduced</w:t>
      </w:r>
      <w:r w:rsidR="007507CB">
        <w:t>, perhaps in a period longer than the Harrodian Longer Run</w:t>
      </w:r>
      <w:r w:rsidR="00163C69">
        <w:t xml:space="preserve">. </w:t>
      </w:r>
    </w:p>
    <w:p w:rsidR="00E95103" w:rsidRPr="0006245A" w:rsidRDefault="00D372F4" w:rsidP="00E95103">
      <w:pPr>
        <w:spacing w:line="240" w:lineRule="auto"/>
      </w:pPr>
      <w:r>
        <w:t>Turning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 w:rsidR="00C46DB6">
        <w:t>th</w:t>
      </w:r>
      <w:r w:rsidR="0024698F">
        <w:t>e</w:t>
      </w:r>
      <w:r w:rsidR="00B71607" w:rsidRPr="00B71607">
        <w:t xml:space="preserve"> </w:t>
      </w:r>
      <w:r w:rsidR="009C1BA4">
        <w:rPr>
          <w:noProof/>
        </w:rPr>
        <w:t>H</w:t>
      </w:r>
      <w:r w:rsidR="00AB561F">
        <w:t>LR</w:t>
      </w:r>
      <w:r w:rsidR="00B71607" w:rsidRPr="00B71607">
        <w:t xml:space="preserve"> </w:t>
      </w:r>
      <w:r w:rsidR="005C5AE6">
        <w:t xml:space="preserve">itself </w:t>
      </w:r>
      <w:r w:rsidR="009C1BA4">
        <w:t>(</w:t>
      </w:r>
      <w:r w:rsidR="0003314F">
        <w:t xml:space="preserve">defined by </w:t>
      </w:r>
      <w:proofErr w:type="spellStart"/>
      <w:r w:rsidR="009C1BA4">
        <w:rPr>
          <w:b/>
        </w:rPr>
        <w:t>g</w:t>
      </w:r>
      <w:r w:rsidR="009C1BA4">
        <w:rPr>
          <w:b/>
          <w:smallCaps/>
          <w:vertAlign w:val="subscript"/>
        </w:rPr>
        <w:t>F</w:t>
      </w:r>
      <w:proofErr w:type="spellEnd"/>
      <w:r w:rsidR="0003314F">
        <w:t xml:space="preserve"> being constant</w:t>
      </w:r>
      <w:r w:rsidR="009C1BA4">
        <w:t>)</w:t>
      </w:r>
      <w:r w:rsidR="0063317B">
        <w:t>,</w:t>
      </w:r>
      <w:r w:rsidR="00B71607" w:rsidRPr="00B71607">
        <w:t xml:space="preserve"> </w:t>
      </w:r>
      <w:r w:rsidR="00FE4EBC">
        <w:rPr>
          <w:b/>
          <w:i/>
        </w:rPr>
        <w:t>c</w:t>
      </w:r>
      <w:r w:rsidR="0024698F">
        <w:t>,</w:t>
      </w:r>
      <w:r w:rsidR="00B71607" w:rsidRPr="00B71607">
        <w:t xml:space="preserve"> </w:t>
      </w:r>
      <w:r w:rsidR="00C46DB6">
        <w:rPr>
          <w:b/>
          <w:i/>
        </w:rPr>
        <w:t>s</w:t>
      </w:r>
      <w:r w:rsidR="0024698F">
        <w:t>,</w:t>
      </w:r>
      <w:r w:rsidR="00B71607" w:rsidRPr="00B71607">
        <w:t xml:space="preserve"> </w:t>
      </w:r>
      <w:r w:rsidR="0024698F">
        <w:t>and</w:t>
      </w:r>
      <w:r w:rsidR="00B71607" w:rsidRPr="00B71607">
        <w:t xml:space="preserve"> </w:t>
      </w:r>
      <w:r w:rsidR="0024698F">
        <w:t>thus</w:t>
      </w:r>
      <w:r w:rsidR="00B71607" w:rsidRPr="00B71607">
        <w:t xml:space="preserve"> </w:t>
      </w:r>
      <w:proofErr w:type="spellStart"/>
      <w:r w:rsidR="0024698F">
        <w:rPr>
          <w:b/>
        </w:rPr>
        <w:t>g</w:t>
      </w:r>
      <w:r w:rsidR="0024698F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C46DB6">
        <w:t>can</w:t>
      </w:r>
      <w:r w:rsidR="00B71607" w:rsidRPr="00B71607">
        <w:t xml:space="preserve"> </w:t>
      </w:r>
      <w:r w:rsidR="00C46DB6">
        <w:t>change</w:t>
      </w:r>
      <w:r w:rsidR="00B71607" w:rsidRPr="00B71607">
        <w:t xml:space="preserve"> </w:t>
      </w:r>
      <w:r w:rsidR="00C158C0">
        <w:t>due</w:t>
      </w:r>
      <w:r w:rsidR="00B71607" w:rsidRPr="00B71607">
        <w:t xml:space="preserve"> </w:t>
      </w:r>
      <w:r w:rsidR="00C158C0">
        <w:t>to</w:t>
      </w:r>
      <w:r w:rsidR="00B71607" w:rsidRPr="00B71607">
        <w:t xml:space="preserve"> </w:t>
      </w:r>
      <w:r w:rsidR="00C158C0">
        <w:t>exogenous</w:t>
      </w:r>
      <w:r w:rsidR="00B71607" w:rsidRPr="00B71607">
        <w:t xml:space="preserve"> </w:t>
      </w:r>
      <w:r w:rsidR="00C158C0">
        <w:t>variations</w:t>
      </w:r>
      <w:r w:rsidR="00B71607" w:rsidRPr="00B71607">
        <w:t xml:space="preserve"> </w:t>
      </w:r>
      <w:r w:rsidR="00C158C0">
        <w:t>and</w:t>
      </w:r>
      <w:r w:rsidR="00B71607" w:rsidRPr="00B71607">
        <w:t xml:space="preserve"> </w:t>
      </w:r>
      <w:r w:rsidR="00EA3B9B">
        <w:t>e</w:t>
      </w:r>
      <w:r w:rsidR="00C158C0">
        <w:t>ndogenous</w:t>
      </w:r>
      <w:r w:rsidR="00B71607" w:rsidRPr="00B71607">
        <w:t xml:space="preserve"> </w:t>
      </w:r>
      <w:r w:rsidR="00C158C0">
        <w:t>effects</w:t>
      </w:r>
      <w:r w:rsidR="00C46DB6">
        <w:t>.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 w:rsidR="00C10572">
        <w:rPr>
          <w:noProof/>
        </w:rPr>
        <w:t>’s</w:t>
      </w:r>
      <w:r w:rsidR="00B71607" w:rsidRPr="00B71607">
        <w:t xml:space="preserve"> </w:t>
      </w:r>
      <w:r w:rsidR="00C46DB6">
        <w:t>analysis</w:t>
      </w:r>
      <w:r w:rsidR="00B71607" w:rsidRPr="00B71607">
        <w:t xml:space="preserve"> </w:t>
      </w:r>
      <w:r w:rsidR="00C46DB6">
        <w:t>of</w:t>
      </w:r>
      <w:r w:rsidR="00B71607" w:rsidRPr="00B71607">
        <w:t xml:space="preserve"> </w:t>
      </w:r>
      <w:r w:rsidR="00C158C0">
        <w:t>such</w:t>
      </w:r>
      <w:r w:rsidR="00B71607" w:rsidRPr="00B71607">
        <w:t xml:space="preserve"> </w:t>
      </w:r>
      <w:r w:rsidR="00C46DB6">
        <w:t>changes</w:t>
      </w:r>
      <w:r w:rsidR="00B71607" w:rsidRPr="00B71607">
        <w:t xml:space="preserve"> </w:t>
      </w:r>
      <w:r w:rsidR="00C10572">
        <w:t>is</w:t>
      </w:r>
      <w:r w:rsidR="00B71607" w:rsidRPr="00B71607">
        <w:t xml:space="preserve"> </w:t>
      </w:r>
      <w:r w:rsidR="00C10572">
        <w:t>restric</w:t>
      </w:r>
      <w:r w:rsidR="00C10572">
        <w:t>t</w:t>
      </w:r>
      <w:r w:rsidR="00C10572">
        <w:t>ed</w:t>
      </w:r>
      <w:r w:rsidR="00B71607" w:rsidRPr="00B71607">
        <w:t xml:space="preserve"> </w:t>
      </w:r>
      <w:r w:rsidR="00C46DB6">
        <w:t>to</w:t>
      </w:r>
      <w:r w:rsidR="00B71607" w:rsidRPr="00B71607">
        <w:t xml:space="preserve"> </w:t>
      </w:r>
      <w:r w:rsidR="000F7D19">
        <w:t>situations</w:t>
      </w:r>
      <w:r w:rsidR="00B71607" w:rsidRPr="00B71607">
        <w:t xml:space="preserve"> </w:t>
      </w:r>
      <w:r w:rsidR="00F5408C">
        <w:t>that</w:t>
      </w:r>
      <w:r w:rsidR="00B71607" w:rsidRPr="00B71607">
        <w:t xml:space="preserve"> </w:t>
      </w:r>
      <w:r w:rsidR="00F5408C">
        <w:t>start</w:t>
      </w:r>
      <w:r w:rsidR="00B71607" w:rsidRPr="00B71607">
        <w:t xml:space="preserve"> </w:t>
      </w:r>
      <w:r w:rsidR="00EA3B9B">
        <w:t>in</w:t>
      </w:r>
      <w:r w:rsidR="00B71607" w:rsidRPr="00B71607">
        <w:t xml:space="preserve"> </w:t>
      </w:r>
      <w:r w:rsidR="00EA3B9B">
        <w:t>a</w:t>
      </w:r>
      <w:r w:rsidR="00B71607" w:rsidRPr="00B71607">
        <w:t xml:space="preserve"> </w:t>
      </w:r>
      <w:r w:rsidR="00EA3B9B">
        <w:t>situation</w:t>
      </w:r>
      <w:r w:rsidR="00B71607" w:rsidRPr="00B71607">
        <w:t xml:space="preserve"> </w:t>
      </w:r>
      <w:r w:rsidR="00F5408C">
        <w:t>with</w:t>
      </w:r>
      <w:r w:rsidR="00B71607" w:rsidRPr="00B71607">
        <w:t xml:space="preserve"> </w:t>
      </w:r>
      <w:r w:rsidR="00B25254">
        <w:t>(</w:t>
      </w:r>
      <w:r w:rsidR="007507CB">
        <w:t>i</w:t>
      </w:r>
      <w:r w:rsidR="00B25254">
        <w:t>)</w:t>
      </w:r>
      <w:r w:rsidR="00B71607" w:rsidRPr="00B71607">
        <w:t xml:space="preserve"> </w:t>
      </w:r>
      <w:r w:rsidR="0050743F">
        <w:rPr>
          <w:b/>
        </w:rPr>
        <w:t>g</w:t>
      </w:r>
      <w:r w:rsidR="00B71607" w:rsidRPr="00B71607">
        <w:t xml:space="preserve"> </w:t>
      </w:r>
      <w:r w:rsidR="00CE1A65">
        <w:t>=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CE1A65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03314F">
        <w:t xml:space="preserve">with </w:t>
      </w:r>
      <w:r w:rsidR="0003314F">
        <w:rPr>
          <w:b/>
          <w:i/>
        </w:rPr>
        <w:t>y</w:t>
      </w:r>
      <w:r w:rsidR="0003314F">
        <w:t xml:space="preserve"> = 1 </w:t>
      </w:r>
      <w:r w:rsidR="002005F0">
        <w:t>(</w:t>
      </w:r>
      <w:r w:rsidR="00023F9E">
        <w:t>the</w:t>
      </w:r>
      <w:r w:rsidR="00B71607" w:rsidRPr="00B71607">
        <w:t xml:space="preserve"> </w:t>
      </w:r>
      <w:r w:rsidR="002005F0">
        <w:t>HMR</w:t>
      </w:r>
      <w:r w:rsidR="00B71607" w:rsidRPr="00B71607">
        <w:t xml:space="preserve"> </w:t>
      </w:r>
      <w:r w:rsidR="0003314F">
        <w:t xml:space="preserve">moving </w:t>
      </w:r>
      <w:r w:rsidR="002005F0">
        <w:t>equili</w:t>
      </w:r>
      <w:r w:rsidR="002005F0">
        <w:t>b</w:t>
      </w:r>
      <w:r w:rsidR="002005F0">
        <w:t>rium)</w:t>
      </w:r>
      <w:r w:rsidR="00B71607" w:rsidRPr="00B71607">
        <w:t xml:space="preserve"> </w:t>
      </w:r>
      <w:r w:rsidR="00A8060E">
        <w:t>and</w:t>
      </w:r>
      <w:r w:rsidR="00B71607" w:rsidRPr="00B71607">
        <w:t xml:space="preserve"> </w:t>
      </w:r>
      <w:r w:rsidR="00B25254">
        <w:t>(</w:t>
      </w:r>
      <w:r w:rsidR="007507CB">
        <w:t>ii</w:t>
      </w:r>
      <w:r w:rsidR="00B25254">
        <w:t>)</w:t>
      </w:r>
      <w:r w:rsidR="00B71607" w:rsidRPr="00B71607">
        <w:t xml:space="preserve"> </w:t>
      </w:r>
      <w:r w:rsidR="002005F0">
        <w:rPr>
          <w:b/>
        </w:rPr>
        <w:t>g</w:t>
      </w:r>
      <w:r w:rsidR="00B71607" w:rsidRPr="00B71607">
        <w:t xml:space="preserve"> </w:t>
      </w:r>
      <w:r w:rsidR="002005F0">
        <w:t>=</w:t>
      </w:r>
      <w:r w:rsidR="00B71607" w:rsidRPr="00B71607">
        <w:t xml:space="preserve"> </w:t>
      </w:r>
      <w:proofErr w:type="spellStart"/>
      <w:r w:rsidR="002005F0">
        <w:rPr>
          <w:b/>
        </w:rPr>
        <w:t>g</w:t>
      </w:r>
      <w:r w:rsidR="002005F0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03314F">
        <w:t>with</w:t>
      </w:r>
      <w:r w:rsidR="005A1A40">
        <w:t xml:space="preserve"> </w:t>
      </w:r>
      <w:r w:rsidR="0003314F" w:rsidRPr="00865CCB">
        <w:rPr>
          <w:b/>
        </w:rPr>
        <w:t>D</w:t>
      </w:r>
      <w:r w:rsidR="0003314F" w:rsidRPr="00B71607">
        <w:t xml:space="preserve"> </w:t>
      </w:r>
      <w:r w:rsidR="0003314F">
        <w:t>=</w:t>
      </w:r>
      <w:r w:rsidR="0003314F" w:rsidRPr="00B71607">
        <w:t xml:space="preserve"> </w:t>
      </w:r>
      <w:r w:rsidR="0003314F">
        <w:rPr>
          <w:b/>
        </w:rPr>
        <w:t>F</w:t>
      </w:r>
      <w:r w:rsidR="0003314F">
        <w:t xml:space="preserve"> </w:t>
      </w:r>
      <w:r w:rsidR="00C10572">
        <w:t>(FE)</w:t>
      </w:r>
      <w:r w:rsidR="00C158C0">
        <w:t>.</w:t>
      </w:r>
      <w:r w:rsidR="00B71607" w:rsidRPr="00B71607">
        <w:t xml:space="preserve"> </w:t>
      </w:r>
      <w:r w:rsidR="00C158C0">
        <w:t>As</w:t>
      </w:r>
      <w:r w:rsidR="00B71607" w:rsidRPr="00B71607">
        <w:t xml:space="preserve"> </w:t>
      </w:r>
      <w:r w:rsidR="00C158C0">
        <w:t>to</w:t>
      </w:r>
      <w:r w:rsidR="00B71607" w:rsidRPr="00B71607">
        <w:t xml:space="preserve"> </w:t>
      </w:r>
      <w:r w:rsidR="001B7606">
        <w:t>the</w:t>
      </w:r>
      <w:r w:rsidR="00B71607" w:rsidRPr="00B71607">
        <w:t xml:space="preserve"> </w:t>
      </w:r>
      <w:r w:rsidR="001B7606">
        <w:t>first,</w:t>
      </w:r>
      <w:r w:rsidR="00B71607" w:rsidRPr="00B71607">
        <w:t xml:space="preserve"> </w:t>
      </w:r>
      <w:r w:rsidR="00C10572">
        <w:t>the</w:t>
      </w:r>
      <w:r w:rsidR="00B71607" w:rsidRPr="00B71607">
        <w:t xml:space="preserve"> </w:t>
      </w:r>
      <w:r w:rsidR="007507CB">
        <w:t xml:space="preserve">existence of the </w:t>
      </w:r>
      <w:r w:rsidR="00C10572">
        <w:t>knife-edge</w:t>
      </w:r>
      <w:r w:rsidR="00B71607" w:rsidRPr="00B71607">
        <w:t xml:space="preserve"> </w:t>
      </w:r>
      <w:r w:rsidR="000678A9">
        <w:t>makes</w:t>
      </w:r>
      <w:r w:rsidR="00B71607" w:rsidRPr="00B71607">
        <w:t xml:space="preserve"> </w:t>
      </w:r>
      <w:r w:rsidR="00C158C0">
        <w:t>t</w:t>
      </w:r>
      <w:r w:rsidR="004639A1">
        <w:t>he</w:t>
      </w:r>
      <w:r w:rsidR="00B71607" w:rsidRPr="00B71607">
        <w:t xml:space="preserve"> </w:t>
      </w:r>
      <w:r w:rsidR="005A1A40">
        <w:t xml:space="preserve">first </w:t>
      </w:r>
      <w:r w:rsidR="004639A1">
        <w:t>assumption</w:t>
      </w:r>
      <w:r w:rsidR="00B71607" w:rsidRPr="00B71607">
        <w:t xml:space="preserve"> </w:t>
      </w:r>
      <w:r w:rsidR="00C10572">
        <w:t>seem</w:t>
      </w:r>
      <w:r w:rsidR="00B71607" w:rsidRPr="00B71607">
        <w:t xml:space="preserve"> </w:t>
      </w:r>
      <w:r w:rsidR="005B695A">
        <w:t>more</w:t>
      </w:r>
      <w:r w:rsidR="00B71607" w:rsidRPr="00B71607">
        <w:t xml:space="preserve"> </w:t>
      </w:r>
      <w:r w:rsidR="005B695A">
        <w:t>than</w:t>
      </w:r>
      <w:r w:rsidR="00B71607" w:rsidRPr="00B71607">
        <w:t xml:space="preserve"> </w:t>
      </w:r>
      <w:r w:rsidR="005B695A">
        <w:t>a</w:t>
      </w:r>
      <w:r w:rsidR="00B71607" w:rsidRPr="00B71607">
        <w:t xml:space="preserve"> </w:t>
      </w:r>
      <w:r w:rsidR="005B695A">
        <w:t>bit</w:t>
      </w:r>
      <w:r w:rsidR="00B71607" w:rsidRPr="00B71607">
        <w:t xml:space="preserve"> </w:t>
      </w:r>
      <w:r w:rsidR="004639A1">
        <w:t>implausible</w:t>
      </w:r>
      <w:r w:rsidR="000678A9">
        <w:t>.</w:t>
      </w:r>
      <w:r w:rsidR="00B71607" w:rsidRPr="00B71607">
        <w:t xml:space="preserve"> </w:t>
      </w:r>
      <w:r w:rsidR="000678A9">
        <w:t>But</w:t>
      </w:r>
      <w:r w:rsidR="00B71607" w:rsidRPr="00B71607">
        <w:t xml:space="preserve"> </w:t>
      </w:r>
      <w:r w:rsidR="005C5AE6">
        <w:t xml:space="preserve">starting with </w:t>
      </w:r>
      <w:r w:rsidR="00C10572">
        <w:t>warran</w:t>
      </w:r>
      <w:r w:rsidR="00C10572">
        <w:t>t</w:t>
      </w:r>
      <w:r w:rsidR="00C10572">
        <w:t>ed</w:t>
      </w:r>
      <w:r w:rsidR="00B71607" w:rsidRPr="00B71607">
        <w:t xml:space="preserve"> </w:t>
      </w:r>
      <w:r w:rsidR="00C10572">
        <w:t>growth</w:t>
      </w:r>
      <w:r w:rsidR="005C5AE6">
        <w:t xml:space="preserve"> </w:t>
      </w:r>
      <w:r w:rsidR="004639A1">
        <w:t>simplifies</w:t>
      </w:r>
      <w:r w:rsidR="00B71607" w:rsidRPr="00B71607">
        <w:t xml:space="preserve"> </w:t>
      </w:r>
      <w:r w:rsidR="00C158C0">
        <w:t>the</w:t>
      </w:r>
      <w:r w:rsidR="00B71607" w:rsidRPr="00B71607">
        <w:t xml:space="preserve"> </w:t>
      </w:r>
      <w:r w:rsidR="00C158C0">
        <w:t>analysis</w:t>
      </w:r>
      <w:r w:rsidR="00B71607" w:rsidRPr="00B71607">
        <w:t xml:space="preserve"> </w:t>
      </w:r>
      <w:r w:rsidR="00C158C0">
        <w:t>tremendously</w:t>
      </w:r>
      <w:r w:rsidR="00B71607" w:rsidRPr="00B71607">
        <w:t xml:space="preserve"> </w:t>
      </w:r>
      <w:r w:rsidR="00C158C0">
        <w:t>and</w:t>
      </w:r>
      <w:r w:rsidR="00B71607" w:rsidRPr="00B71607">
        <w:t xml:space="preserve"> </w:t>
      </w:r>
      <w:r w:rsidR="00C158C0">
        <w:t>will</w:t>
      </w:r>
      <w:r w:rsidR="00B71607" w:rsidRPr="00B71607">
        <w:t xml:space="preserve"> </w:t>
      </w:r>
      <w:r w:rsidR="00C158C0">
        <w:t>be</w:t>
      </w:r>
      <w:r w:rsidR="00B71607" w:rsidRPr="00B71607">
        <w:t xml:space="preserve"> </w:t>
      </w:r>
      <w:r w:rsidR="00C158C0">
        <w:t>kept</w:t>
      </w:r>
      <w:r w:rsidR="004639A1">
        <w:t>.</w:t>
      </w:r>
      <w:r w:rsidR="00B71607" w:rsidRPr="00B71607">
        <w:t xml:space="preserve"> </w:t>
      </w:r>
      <w:r w:rsidR="001B7606">
        <w:t>As</w:t>
      </w:r>
      <w:r w:rsidR="00B71607" w:rsidRPr="00B71607">
        <w:t xml:space="preserve"> </w:t>
      </w:r>
      <w:r w:rsidR="001B7606">
        <w:t>seen</w:t>
      </w:r>
      <w:r w:rsidR="00B71607" w:rsidRPr="00B71607">
        <w:t xml:space="preserve"> </w:t>
      </w:r>
      <w:r w:rsidR="001B7606">
        <w:t>below,</w:t>
      </w:r>
      <w:r w:rsidR="00B71607" w:rsidRPr="00B71607">
        <w:t xml:space="preserve"> </w:t>
      </w:r>
      <w:r w:rsidR="00162AC4">
        <w:t xml:space="preserve">however, </w:t>
      </w:r>
      <w:r w:rsidR="001B7606">
        <w:t>assum</w:t>
      </w:r>
      <w:r w:rsidR="001B7606">
        <w:t>p</w:t>
      </w:r>
      <w:r w:rsidR="001B7606">
        <w:t>tions</w:t>
      </w:r>
      <w:r w:rsidR="00B71607" w:rsidRPr="00B71607">
        <w:t xml:space="preserve"> </w:t>
      </w:r>
      <w:r w:rsidR="007507CB">
        <w:t>(ii</w:t>
      </w:r>
      <w:r w:rsidR="001B7606">
        <w:t>)</w:t>
      </w:r>
      <w:r w:rsidR="00B71607" w:rsidRPr="00B71607">
        <w:t xml:space="preserve"> </w:t>
      </w:r>
      <w:r w:rsidR="001B7606">
        <w:t>are</w:t>
      </w:r>
      <w:r w:rsidR="00B71607" w:rsidRPr="00B71607">
        <w:t xml:space="preserve"> </w:t>
      </w:r>
      <w:r w:rsidR="001B7606">
        <w:t>not</w:t>
      </w:r>
      <w:r w:rsidR="00B71607" w:rsidRPr="00B71607">
        <w:t xml:space="preserve"> </w:t>
      </w:r>
      <w:r w:rsidR="001B7606">
        <w:t>necessary.</w:t>
      </w:r>
      <w:r w:rsidR="00B71607" w:rsidRPr="00B71607">
        <w:t xml:space="preserve"> </w:t>
      </w:r>
      <w:r w:rsidR="0076561B">
        <w:t>Further,</w:t>
      </w:r>
      <w:r w:rsidR="00B71607" w:rsidRPr="00B71607">
        <w:t xml:space="preserve"> </w:t>
      </w:r>
      <w:r w:rsidR="0076561B">
        <w:t>as</w:t>
      </w:r>
      <w:r w:rsidR="00B71607" w:rsidRPr="00B71607">
        <w:t xml:space="preserve"> </w:t>
      </w:r>
      <w:r w:rsidR="0076561B">
        <w:t>discussed</w:t>
      </w:r>
      <w:r w:rsidR="00B71607" w:rsidRPr="00B71607">
        <w:t xml:space="preserve"> </w:t>
      </w:r>
      <w:r w:rsidR="0076561B">
        <w:t>in</w:t>
      </w:r>
      <w:r w:rsidR="00B71607" w:rsidRPr="00B71607">
        <w:t xml:space="preserve"> </w:t>
      </w:r>
      <w:r w:rsidR="0076561B" w:rsidRPr="00D44191">
        <w:t>§</w:t>
      </w:r>
      <w:r w:rsidR="007507CB">
        <w:fldChar w:fldCharType="begin"/>
      </w:r>
      <w:r w:rsidR="007507CB">
        <w:instrText xml:space="preserve"> REF _Ref413322038 \w \h </w:instrText>
      </w:r>
      <w:r w:rsidR="007507CB">
        <w:fldChar w:fldCharType="separate"/>
      </w:r>
      <w:r w:rsidR="00292438">
        <w:t>II.A.2</w:t>
      </w:r>
      <w:r w:rsidR="007507CB">
        <w:fldChar w:fldCharType="end"/>
      </w:r>
      <w:r w:rsidR="0076561B">
        <w:fldChar w:fldCharType="begin"/>
      </w:r>
      <w:r w:rsidR="0076561B">
        <w:instrText xml:space="preserve"> REF _Ref409962657 \w \h </w:instrText>
      </w:r>
      <w:r w:rsidR="00292438">
        <w:fldChar w:fldCharType="separate"/>
      </w:r>
      <w:r w:rsidR="00292438">
        <w:t>II.A.1</w:t>
      </w:r>
      <w:r w:rsidR="0076561B">
        <w:fldChar w:fldCharType="end"/>
      </w:r>
      <w:r w:rsidR="0076561B">
        <w:t>,</w:t>
      </w:r>
      <w:r w:rsidR="00B71607" w:rsidRPr="00B71607">
        <w:t xml:space="preserve"> </w:t>
      </w:r>
      <w:r w:rsidR="0076561B">
        <w:t>issues</w:t>
      </w:r>
      <w:r w:rsidR="00B71607" w:rsidRPr="00B71607">
        <w:t xml:space="preserve"> </w:t>
      </w:r>
      <w:r w:rsidR="0076561B">
        <w:t>of</w:t>
      </w:r>
      <w:r w:rsidR="00B71607" w:rsidRPr="00B71607">
        <w:t xml:space="preserve"> </w:t>
      </w:r>
      <w:r w:rsidR="0076561B">
        <w:t>changing</w:t>
      </w:r>
      <w:r w:rsidR="00B71607" w:rsidRPr="00B71607">
        <w:t xml:space="preserve"> </w:t>
      </w:r>
      <w:r w:rsidR="0076561B">
        <w:rPr>
          <w:b/>
          <w:i/>
        </w:rPr>
        <w:t>c</w:t>
      </w:r>
      <w:r w:rsidR="00B71607" w:rsidRPr="00B71607">
        <w:t xml:space="preserve"> </w:t>
      </w:r>
      <w:r w:rsidR="0076561B">
        <w:t>are</w:t>
      </w:r>
      <w:r w:rsidR="00B71607" w:rsidRPr="00B71607">
        <w:t xml:space="preserve"> </w:t>
      </w:r>
      <w:r w:rsidR="0076561B">
        <w:t>irrelevant</w:t>
      </w:r>
      <w:r w:rsidR="00B71607" w:rsidRPr="00B71607">
        <w:t xml:space="preserve"> </w:t>
      </w:r>
      <w:r w:rsidR="0076561B">
        <w:t>when</w:t>
      </w:r>
      <w:r w:rsidR="00B71607" w:rsidRPr="00B71607">
        <w:t xml:space="preserve"> </w:t>
      </w:r>
      <w:r w:rsidR="0076561B">
        <w:t>discussing</w:t>
      </w:r>
      <w:r w:rsidR="00B71607" w:rsidRPr="00B71607">
        <w:t xml:space="preserve"> </w:t>
      </w:r>
      <w:r w:rsidR="0076561B">
        <w:t>deviations</w:t>
      </w:r>
      <w:r w:rsidR="00B71607" w:rsidRPr="00B71607">
        <w:t xml:space="preserve"> </w:t>
      </w:r>
      <w:r w:rsidR="0076561B">
        <w:t>from</w:t>
      </w:r>
      <w:r w:rsidR="00B71607" w:rsidRPr="00B71607">
        <w:t xml:space="preserve"> </w:t>
      </w:r>
      <w:r w:rsidR="0076561B">
        <w:t>wa</w:t>
      </w:r>
      <w:r w:rsidR="0076561B">
        <w:t>r</w:t>
      </w:r>
      <w:r w:rsidR="0076561B">
        <w:t>ranted</w:t>
      </w:r>
      <w:r w:rsidR="00B71607" w:rsidRPr="00B71607">
        <w:t xml:space="preserve"> </w:t>
      </w:r>
      <w:r w:rsidR="0076561B">
        <w:t>growth.</w:t>
      </w:r>
    </w:p>
    <w:p w:rsidR="005C5AE6" w:rsidRDefault="00CE1A65" w:rsidP="00666531">
      <w:pPr>
        <w:spacing w:line="240" w:lineRule="auto"/>
      </w:pPr>
      <w:r>
        <w:t>First,</w:t>
      </w:r>
      <w:r w:rsidR="00B71607" w:rsidRPr="00B71607">
        <w:t xml:space="preserve"> </w:t>
      </w:r>
      <w:r w:rsidR="0066118A">
        <w:t>start</w:t>
      </w:r>
      <w:r w:rsidR="00B71607" w:rsidRPr="00B71607">
        <w:t xml:space="preserve"> </w:t>
      </w:r>
      <w:r w:rsidR="0066118A">
        <w:t>with</w:t>
      </w:r>
      <w:r w:rsidR="00B71607" w:rsidRPr="00B71607">
        <w:t xml:space="preserve"> </w:t>
      </w:r>
      <w:r w:rsidR="0066118A">
        <w:t>point</w:t>
      </w:r>
      <w:r w:rsidR="00B71607" w:rsidRPr="00B71607">
        <w:t xml:space="preserve"> </w:t>
      </w:r>
      <w:r w:rsidR="0066118A" w:rsidRPr="0066118A">
        <w:rPr>
          <w:b/>
        </w:rPr>
        <w:t>1</w:t>
      </w:r>
      <w:r w:rsidR="00B71607" w:rsidRPr="00B71607">
        <w:t xml:space="preserve"> </w:t>
      </w:r>
      <w:r w:rsidR="0066118A">
        <w:t>in</w:t>
      </w:r>
      <w:r w:rsidR="00B71607" w:rsidRPr="00B71607">
        <w:t xml:space="preserve"> </w:t>
      </w:r>
      <w:r w:rsidR="0066118A">
        <w:fldChar w:fldCharType="begin"/>
      </w:r>
      <w:r w:rsidR="0066118A">
        <w:instrText xml:space="preserve"> REF  _Ref407686664 \h \* Lower </w:instrText>
      </w:r>
      <w:r w:rsidR="0066118A">
        <w:fldChar w:fldCharType="separate"/>
      </w:r>
      <w:r w:rsidR="00292438">
        <w:t>figure</w:t>
      </w:r>
      <w:r w:rsidR="00292438" w:rsidRPr="00B71607">
        <w:t xml:space="preserve"> </w:t>
      </w:r>
      <w:r w:rsidR="00292438">
        <w:rPr>
          <w:noProof/>
        </w:rPr>
        <w:t>1</w:t>
      </w:r>
      <w:r w:rsidR="0066118A">
        <w:fldChar w:fldCharType="end"/>
      </w:r>
      <w:r w:rsidR="0066118A">
        <w:t>.</w:t>
      </w:r>
      <w:r w:rsidR="00B71607" w:rsidRPr="00B71607">
        <w:t xml:space="preserve"> </w:t>
      </w:r>
      <w:r w:rsidR="009729EF">
        <w:t>The</w:t>
      </w:r>
      <w:r w:rsidR="00B71607" w:rsidRPr="00B71607">
        <w:t xml:space="preserve"> </w:t>
      </w:r>
      <w:r w:rsidR="009729EF">
        <w:t>actual</w:t>
      </w:r>
      <w:r w:rsidR="00B71607" w:rsidRPr="00B71607">
        <w:t xml:space="preserve"> </w:t>
      </w:r>
      <w:r w:rsidR="009729EF">
        <w:t>and</w:t>
      </w:r>
      <w:r w:rsidR="00B71607" w:rsidRPr="00B71607">
        <w:t xml:space="preserve"> </w:t>
      </w:r>
      <w:r w:rsidR="009729EF">
        <w:t>warranted</w:t>
      </w:r>
      <w:r w:rsidR="00B71607" w:rsidRPr="00B71607">
        <w:t xml:space="preserve"> </w:t>
      </w:r>
      <w:r w:rsidR="009729EF">
        <w:t>growth</w:t>
      </w:r>
      <w:r w:rsidR="00B71607" w:rsidRPr="00B71607">
        <w:t xml:space="preserve"> </w:t>
      </w:r>
      <w:r w:rsidR="009729EF">
        <w:t>rate</w:t>
      </w:r>
      <w:r w:rsidR="001C3573">
        <w:t>s</w:t>
      </w:r>
      <w:r w:rsidR="00B71607" w:rsidRPr="00B71607">
        <w:t xml:space="preserve"> </w:t>
      </w:r>
      <w:r w:rsidR="009729EF">
        <w:t>start</w:t>
      </w:r>
      <w:r w:rsidR="00B71607" w:rsidRPr="00B71607">
        <w:t xml:space="preserve"> </w:t>
      </w:r>
      <w:r w:rsidR="009729EF">
        <w:t>equal</w:t>
      </w:r>
      <w:r w:rsidR="00B71607" w:rsidRPr="00B71607">
        <w:t xml:space="preserve"> </w:t>
      </w:r>
      <w:r w:rsidR="009729EF">
        <w:t>to</w:t>
      </w:r>
      <w:r w:rsidR="00B71607" w:rsidRPr="00B71607">
        <w:t xml:space="preserve"> </w:t>
      </w:r>
      <w:r w:rsidR="009729EF">
        <w:t>what</w:t>
      </w:r>
      <w:r w:rsidR="00B71607" w:rsidRPr="00B71607">
        <w:t xml:space="preserve"> </w:t>
      </w:r>
      <w:r w:rsidR="009729EF">
        <w:t>Harrod</w:t>
      </w:r>
      <w:r w:rsidR="00B71607" w:rsidRPr="00B71607">
        <w:t xml:space="preserve"> </w:t>
      </w:r>
      <w:r w:rsidR="009729EF">
        <w:t>called</w:t>
      </w:r>
      <w:r w:rsidR="00B71607" w:rsidRPr="00B71607">
        <w:t xml:space="preserve"> </w:t>
      </w:r>
      <w:r w:rsidR="009729EF">
        <w:t>the</w:t>
      </w:r>
      <w:r w:rsidR="00B71607" w:rsidRPr="00B71607">
        <w:t xml:space="preserve"> </w:t>
      </w:r>
      <w:r w:rsidR="009729EF">
        <w:t>“proper”</w:t>
      </w:r>
      <w:r w:rsidR="00B71607" w:rsidRPr="00B71607">
        <w:t xml:space="preserve"> </w:t>
      </w:r>
      <w:r w:rsidR="009729EF">
        <w:t>rate</w:t>
      </w:r>
      <w:r w:rsidR="00B71607" w:rsidRPr="00B71607">
        <w:t xml:space="preserve"> </w:t>
      </w:r>
      <w:r w:rsidR="009729EF">
        <w:t>(</w:t>
      </w:r>
      <w:proofErr w:type="spellStart"/>
      <w:r w:rsidR="009729EF">
        <w:rPr>
          <w:b/>
        </w:rPr>
        <w:t>g</w:t>
      </w:r>
      <w:r w:rsidR="009729EF">
        <w:rPr>
          <w:b/>
          <w:smallCaps/>
          <w:vertAlign w:val="subscript"/>
        </w:rPr>
        <w:t>F</w:t>
      </w:r>
      <w:proofErr w:type="spellEnd"/>
      <w:r w:rsidR="009729EF">
        <w:t>)</w:t>
      </w:r>
      <w:r w:rsidR="007507CB">
        <w:t xml:space="preserve">, which </w:t>
      </w:r>
      <w:r w:rsidR="005C5AE6">
        <w:t xml:space="preserve">clearly </w:t>
      </w:r>
      <w:r w:rsidR="007507CB">
        <w:t>refers to a growth rate that</w:t>
      </w:r>
      <w:r w:rsidR="00162AC4">
        <w:t xml:space="preserve"> should be</w:t>
      </w:r>
      <w:r w:rsidR="007507CB">
        <w:t xml:space="preserve"> preferred by the policy-makers or the citizenry</w:t>
      </w:r>
      <w:r w:rsidR="009729EF">
        <w:t>.</w:t>
      </w:r>
      <w:r w:rsidR="00B71607" w:rsidRPr="00B71607">
        <w:t xml:space="preserve"> </w:t>
      </w:r>
      <w:r w:rsidR="007507CB">
        <w:t xml:space="preserve">Now, </w:t>
      </w:r>
      <w:r w:rsidR="00901874">
        <w:t>consider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>
        <w:rPr>
          <w:i/>
        </w:rPr>
        <w:t>fall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warranted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 w:rsidR="009860CA">
        <w:t>relative</w:t>
      </w:r>
      <w:r w:rsidR="00B71607" w:rsidRPr="00B71607">
        <w:t xml:space="preserve"> </w:t>
      </w:r>
      <w:r w:rsidR="009860CA">
        <w:t>to</w:t>
      </w:r>
      <w:r w:rsidR="00B71607" w:rsidRPr="00B71607">
        <w:t xml:space="preserve"> </w:t>
      </w:r>
      <w:r w:rsidR="009860CA">
        <w:t>the</w:t>
      </w:r>
      <w:r w:rsidR="00B71607" w:rsidRPr="00B71607">
        <w:t xml:space="preserve"> </w:t>
      </w:r>
      <w:r w:rsidR="009860CA">
        <w:t>actual</w:t>
      </w:r>
      <w:r w:rsidR="00B71607" w:rsidRPr="00B71607">
        <w:t xml:space="preserve"> </w:t>
      </w:r>
      <w:r w:rsidR="009860CA">
        <w:t>rate</w:t>
      </w:r>
      <w:r w:rsidR="00B71607" w:rsidRPr="00B71607">
        <w:t xml:space="preserve"> </w:t>
      </w:r>
      <w:r w:rsidR="009860CA">
        <w:t>of</w:t>
      </w:r>
      <w:r w:rsidR="00B71607" w:rsidRPr="00B71607">
        <w:t xml:space="preserve"> </w:t>
      </w:r>
      <w:r w:rsidR="009860CA">
        <w:t>growth</w:t>
      </w:r>
      <w:r>
        <w:t>.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occur</w:t>
      </w:r>
      <w:r w:rsidR="009860CA">
        <w:t>s</w:t>
      </w:r>
      <w:r w:rsidR="00B71607" w:rsidRPr="00B71607">
        <w:t xml:space="preserve"> </w:t>
      </w:r>
      <w:r>
        <w:t>due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a</w:t>
      </w:r>
      <w:r w:rsidR="00B71607" w:rsidRPr="00B71607">
        <w:t xml:space="preserve"> </w:t>
      </w:r>
      <w:r w:rsidR="0024698F">
        <w:t>decrease</w:t>
      </w:r>
      <w:r w:rsidR="00B71607" w:rsidRPr="00B71607">
        <w:t xml:space="preserve"> </w:t>
      </w:r>
      <w:r w:rsidR="0024698F">
        <w:t>of</w:t>
      </w:r>
      <w:r w:rsidR="00B71607" w:rsidRPr="00B71607">
        <w:t xml:space="preserve"> </w:t>
      </w:r>
      <w:r w:rsidR="0024698F">
        <w:rPr>
          <w:b/>
          <w:i/>
        </w:rPr>
        <w:t>s</w:t>
      </w:r>
      <w:r w:rsidR="00B71607" w:rsidRPr="00B71607">
        <w:t xml:space="preserve"> </w:t>
      </w:r>
      <w:r w:rsidR="009F2B7D">
        <w:t>(pe</w:t>
      </w:r>
      <w:r w:rsidR="009F2B7D">
        <w:t>r</w:t>
      </w:r>
      <w:r w:rsidR="009F2B7D">
        <w:t>haps</w:t>
      </w:r>
      <w:r w:rsidR="00B71607" w:rsidRPr="00B71607">
        <w:t xml:space="preserve"> </w:t>
      </w:r>
      <w:r w:rsidR="009F2B7D">
        <w:t>due</w:t>
      </w:r>
      <w:r w:rsidR="00B71607" w:rsidRPr="00B71607">
        <w:t xml:space="preserve"> </w:t>
      </w:r>
      <w:r w:rsidR="009F2B7D">
        <w:t>to</w:t>
      </w:r>
      <w:r w:rsidR="00B71607" w:rsidRPr="00B71607">
        <w:t xml:space="preserve"> </w:t>
      </w:r>
      <w:r w:rsidR="009F2B7D">
        <w:t>Keynesian</w:t>
      </w:r>
      <w:r w:rsidR="00B71607" w:rsidRPr="00B71607">
        <w:t xml:space="preserve"> </w:t>
      </w:r>
      <w:r w:rsidR="009F2B7D">
        <w:t>stimulus</w:t>
      </w:r>
      <w:r w:rsidR="00B71607" w:rsidRPr="00B71607">
        <w:t xml:space="preserve"> </w:t>
      </w:r>
      <w:r w:rsidR="009F2B7D">
        <w:t>that</w:t>
      </w:r>
      <w:r w:rsidR="00B71607" w:rsidRPr="00B71607">
        <w:t xml:space="preserve"> </w:t>
      </w:r>
      <w:r w:rsidR="009F2B7D">
        <w:t>lowers</w:t>
      </w:r>
      <w:r w:rsidR="00B71607" w:rsidRPr="00B71607">
        <w:t xml:space="preserve"> </w:t>
      </w:r>
      <w:r w:rsidR="009F2B7D">
        <w:t>government</w:t>
      </w:r>
      <w:r w:rsidR="00B71607" w:rsidRPr="00B71607">
        <w:t xml:space="preserve"> </w:t>
      </w:r>
      <w:r w:rsidR="009F2B7D">
        <w:t>saving)</w:t>
      </w:r>
      <w:r w:rsidR="00B71607" w:rsidRPr="00B71607">
        <w:t xml:space="preserve"> </w:t>
      </w:r>
      <w:r>
        <w:t>or</w:t>
      </w:r>
      <w:r w:rsidR="00B71607" w:rsidRPr="00B71607">
        <w:t xml:space="preserve"> </w:t>
      </w:r>
      <w:r w:rsidR="00023F9E">
        <w:t>changes</w:t>
      </w:r>
      <w:r w:rsidR="00B71607" w:rsidRPr="00B71607">
        <w:t xml:space="preserve"> </w:t>
      </w:r>
      <w:r w:rsidR="00023F9E">
        <w:t>in</w:t>
      </w:r>
      <w:r w:rsidR="00B71607" w:rsidRPr="00B71607">
        <w:t xml:space="preserve"> </w:t>
      </w:r>
      <w:r>
        <w:t>other</w:t>
      </w:r>
      <w:r w:rsidR="00B71607" w:rsidRPr="00B71607">
        <w:t xml:space="preserve"> </w:t>
      </w:r>
      <w:r>
        <w:t>factors</w:t>
      </w:r>
      <w:r w:rsidR="00B71607" w:rsidRPr="00B71607">
        <w:t xml:space="preserve"> </w:t>
      </w:r>
      <w:r w:rsidR="009A31E5">
        <w:t>that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 w:rsidR="00B71607" w:rsidRPr="00B71607">
        <w:t xml:space="preserve"> </w:t>
      </w:r>
      <w:r w:rsidR="0059256F">
        <w:t>listed.</w:t>
      </w:r>
      <w:r w:rsidR="00B71607" w:rsidRPr="00B71607">
        <w:t xml:space="preserve"> </w:t>
      </w:r>
      <w:r w:rsidR="009A3BAB">
        <w:rPr>
          <w:bCs/>
        </w:rPr>
        <w:t>T</w:t>
      </w:r>
      <w:r w:rsidR="00F7063A">
        <w:t>hese</w:t>
      </w:r>
      <w:r w:rsidR="00B71607" w:rsidRPr="00B71607">
        <w:t xml:space="preserve"> </w:t>
      </w:r>
      <w:r w:rsidR="00F7063A">
        <w:t>changes</w:t>
      </w:r>
      <w:r w:rsidR="00B71607" w:rsidRPr="00B71607">
        <w:t xml:space="preserve"> </w:t>
      </w:r>
      <w:r w:rsidR="00150B85">
        <w:t>break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="00F52CED">
        <w:t>assumed</w:t>
      </w:r>
      <w:r w:rsidR="00B71607" w:rsidRPr="00B71607">
        <w:t xml:space="preserve"> </w:t>
      </w:r>
      <w:r>
        <w:t>HMR</w:t>
      </w:r>
      <w:r w:rsidR="00B71607" w:rsidRPr="00B71607">
        <w:t xml:space="preserve"> </w:t>
      </w:r>
      <w:r w:rsidR="00652E31">
        <w:t>equilibrium</w:t>
      </w:r>
      <w:r w:rsidR="00B71607" w:rsidRPr="00B71607">
        <w:t xml:space="preserve"> </w:t>
      </w:r>
      <w:r w:rsidR="0066118A">
        <w:t>because</w:t>
      </w:r>
      <w:r w:rsidR="00B71607" w:rsidRPr="00B71607">
        <w:t xml:space="preserve"> </w:t>
      </w:r>
      <w:r w:rsidR="0066118A">
        <w:t>it</w:t>
      </w:r>
      <w:r w:rsidR="00B71607" w:rsidRPr="00B71607">
        <w:t xml:space="preserve"> </w:t>
      </w:r>
      <w:r w:rsidR="0066118A">
        <w:t>means</w:t>
      </w:r>
      <w:r w:rsidR="00B71607" w:rsidRPr="00B71607">
        <w:t xml:space="preserve"> </w:t>
      </w:r>
      <w:r w:rsidR="0066118A">
        <w:t>that</w:t>
      </w:r>
      <w:r w:rsidR="00B71607" w:rsidRPr="00B71607">
        <w:t xml:space="preserve"> </w:t>
      </w:r>
      <w:proofErr w:type="spellStart"/>
      <w:r w:rsidR="0066118A">
        <w:rPr>
          <w:b/>
        </w:rPr>
        <w:t>g</w:t>
      </w:r>
      <w:r w:rsidR="0066118A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66118A">
        <w:t>falls</w:t>
      </w:r>
      <w:r w:rsidR="00B71607" w:rsidRPr="00B71607">
        <w:t xml:space="preserve"> </w:t>
      </w:r>
      <w:r w:rsidR="0066118A">
        <w:t>below</w:t>
      </w:r>
      <w:r w:rsidR="00B71607" w:rsidRPr="00B71607">
        <w:t xml:space="preserve"> </w:t>
      </w:r>
      <w:r w:rsidR="0066118A">
        <w:rPr>
          <w:b/>
        </w:rPr>
        <w:t>g</w:t>
      </w:r>
      <w:r w:rsidR="00652E31">
        <w:t>.</w:t>
      </w:r>
      <w:r w:rsidR="00B71607" w:rsidRPr="00B71607">
        <w:t xml:space="preserve"> </w:t>
      </w:r>
      <w:r w:rsidR="00162AC4">
        <w:t xml:space="preserve">In terms of </w:t>
      </w:r>
      <w:r w:rsidR="00162AC4">
        <w:fldChar w:fldCharType="begin"/>
      </w:r>
      <w:r w:rsidR="00162AC4">
        <w:instrText xml:space="preserve"> REF  _Ref414354313 \h \* Lower </w:instrText>
      </w:r>
      <w:r w:rsidR="00162AC4">
        <w:fldChar w:fldCharType="separate"/>
      </w:r>
      <w:r w:rsidR="00292438">
        <w:t xml:space="preserve">figure </w:t>
      </w:r>
      <w:r w:rsidR="00292438">
        <w:rPr>
          <w:noProof/>
        </w:rPr>
        <w:t>2</w:t>
      </w:r>
      <w:r w:rsidR="00162AC4">
        <w:fldChar w:fldCharType="end"/>
      </w:r>
      <w:r w:rsidR="00162AC4">
        <w:t xml:space="preserve">, </w:t>
      </w:r>
      <w:r w:rsidR="009F2B7D">
        <w:t>an</w:t>
      </w:r>
      <w:r w:rsidR="00B71607" w:rsidRPr="00B71607">
        <w:t xml:space="preserve"> </w:t>
      </w:r>
      <w:r w:rsidR="009F2B7D">
        <w:t>independent</w:t>
      </w:r>
      <w:r w:rsidR="00B71607" w:rsidRPr="00B71607">
        <w:t xml:space="preserve"> </w:t>
      </w:r>
      <w:r w:rsidR="009F2B7D">
        <w:t>rise</w:t>
      </w:r>
      <w:r w:rsidR="00B71607" w:rsidRPr="00B71607">
        <w:t xml:space="preserve"> </w:t>
      </w:r>
      <w:r w:rsidR="009F2B7D">
        <w:t>of</w:t>
      </w:r>
      <w:r w:rsidR="00B71607" w:rsidRPr="00B71607">
        <w:t xml:space="preserve"> </w:t>
      </w:r>
      <w:r w:rsidR="009F2B7D" w:rsidRPr="0009717A">
        <w:rPr>
          <w:rFonts w:eastAsiaTheme="minorEastAsia"/>
          <w:b/>
          <w:bCs/>
          <w:i/>
        </w:rPr>
        <w:t>α</w:t>
      </w:r>
      <w:r w:rsidR="00B71607" w:rsidRPr="00B71607">
        <w:t xml:space="preserve"> </w:t>
      </w:r>
      <w:r w:rsidR="009F2B7D" w:rsidRPr="00A13E52">
        <w:rPr>
          <w:rFonts w:eastAsiaTheme="minorEastAsia"/>
          <w:szCs w:val="24"/>
        </w:rPr>
        <w:t>has</w:t>
      </w:r>
      <w:r w:rsidR="00B71607" w:rsidRPr="00B71607">
        <w:rPr>
          <w:rFonts w:eastAsiaTheme="minorEastAsia"/>
          <w:szCs w:val="24"/>
        </w:rPr>
        <w:t xml:space="preserve"> </w:t>
      </w:r>
      <w:r w:rsidR="009F2B7D">
        <w:rPr>
          <w:rFonts w:eastAsiaTheme="minorEastAsia"/>
          <w:szCs w:val="24"/>
        </w:rPr>
        <w:t>this</w:t>
      </w:r>
      <w:r w:rsidR="00B71607" w:rsidRPr="00B71607">
        <w:rPr>
          <w:rFonts w:eastAsiaTheme="minorEastAsia"/>
          <w:szCs w:val="24"/>
        </w:rPr>
        <w:t xml:space="preserve"> </w:t>
      </w:r>
      <w:r w:rsidR="009F2B7D" w:rsidRPr="00A13E52">
        <w:rPr>
          <w:rFonts w:eastAsiaTheme="minorEastAsia"/>
          <w:szCs w:val="24"/>
        </w:rPr>
        <w:t>effect</w:t>
      </w:r>
      <w:r w:rsidR="00B71607" w:rsidRPr="00B71607">
        <w:rPr>
          <w:rFonts w:eastAsiaTheme="minorEastAsia"/>
          <w:szCs w:val="24"/>
        </w:rPr>
        <w:t xml:space="preserve"> </w:t>
      </w:r>
      <w:r w:rsidR="009F2B7D">
        <w:rPr>
          <w:rFonts w:eastAsiaTheme="minorEastAsia"/>
          <w:szCs w:val="24"/>
        </w:rPr>
        <w:t>if</w:t>
      </w:r>
      <w:r w:rsidR="00B71607" w:rsidRPr="00B71607">
        <w:rPr>
          <w:rFonts w:eastAsiaTheme="minorEastAsia"/>
          <w:szCs w:val="24"/>
        </w:rPr>
        <w:t xml:space="preserve"> </w:t>
      </w:r>
      <w:r w:rsidR="009F2B7D" w:rsidRPr="009A3BAB">
        <w:rPr>
          <w:rFonts w:eastAsiaTheme="minorEastAsia"/>
          <w:szCs w:val="24"/>
        </w:rPr>
        <w:t>any</w:t>
      </w:r>
      <w:r w:rsidR="00B71607" w:rsidRPr="00B71607">
        <w:rPr>
          <w:rFonts w:eastAsiaTheme="minorEastAsia"/>
          <w:szCs w:val="24"/>
        </w:rPr>
        <w:t xml:space="preserve"> </w:t>
      </w:r>
      <w:r w:rsidR="009F2B7D">
        <w:rPr>
          <w:rFonts w:eastAsiaTheme="minorEastAsia"/>
          <w:szCs w:val="24"/>
        </w:rPr>
        <w:t>i</w:t>
      </w:r>
      <w:r w:rsidR="009F2B7D">
        <w:rPr>
          <w:rFonts w:eastAsiaTheme="minorEastAsia"/>
          <w:szCs w:val="24"/>
        </w:rPr>
        <w:t>n</w:t>
      </w:r>
      <w:r w:rsidR="009F2B7D">
        <w:rPr>
          <w:rFonts w:eastAsiaTheme="minorEastAsia"/>
          <w:szCs w:val="24"/>
        </w:rPr>
        <w:t>crease</w:t>
      </w:r>
      <w:r w:rsidR="00B71607" w:rsidRPr="00B71607">
        <w:rPr>
          <w:rFonts w:eastAsiaTheme="minorEastAsia"/>
          <w:szCs w:val="24"/>
        </w:rPr>
        <w:t xml:space="preserve"> </w:t>
      </w:r>
      <w:r w:rsidR="009F2B7D">
        <w:rPr>
          <w:rFonts w:eastAsiaTheme="minorEastAsia"/>
          <w:szCs w:val="24"/>
        </w:rPr>
        <w:t>of</w:t>
      </w:r>
      <w:r w:rsidR="00B71607" w:rsidRPr="00B71607">
        <w:rPr>
          <w:rFonts w:eastAsiaTheme="minorEastAsia"/>
          <w:szCs w:val="24"/>
        </w:rPr>
        <w:t xml:space="preserve"> </w:t>
      </w:r>
      <w:r w:rsidR="009F2B7D">
        <w:rPr>
          <w:b/>
          <w:bCs/>
          <w:i/>
        </w:rPr>
        <w:t>s</w:t>
      </w:r>
      <w:r w:rsidR="00B71607" w:rsidRPr="00B71607">
        <w:rPr>
          <w:bCs/>
        </w:rPr>
        <w:t xml:space="preserve"> </w:t>
      </w:r>
      <w:r w:rsidR="009F2B7D">
        <w:rPr>
          <w:bCs/>
        </w:rPr>
        <w:t>is</w:t>
      </w:r>
      <w:r w:rsidR="00B71607" w:rsidRPr="00B71607">
        <w:rPr>
          <w:bCs/>
        </w:rPr>
        <w:t xml:space="preserve"> </w:t>
      </w:r>
      <w:r w:rsidR="009F2B7D">
        <w:rPr>
          <w:bCs/>
        </w:rPr>
        <w:t>smaller</w:t>
      </w:r>
      <w:r w:rsidR="00B71607" w:rsidRPr="00B71607">
        <w:rPr>
          <w:bCs/>
        </w:rPr>
        <w:t xml:space="preserve"> </w:t>
      </w:r>
      <w:r w:rsidR="002B1DA1">
        <w:rPr>
          <w:bCs/>
        </w:rPr>
        <w:t>(or</w:t>
      </w:r>
      <w:r w:rsidR="00B71607" w:rsidRPr="00B71607">
        <w:rPr>
          <w:bCs/>
        </w:rPr>
        <w:t xml:space="preserve"> </w:t>
      </w:r>
      <w:r w:rsidR="002B1DA1">
        <w:rPr>
          <w:bCs/>
        </w:rPr>
        <w:t>if</w:t>
      </w:r>
      <w:r w:rsidR="00B71607" w:rsidRPr="00B71607">
        <w:rPr>
          <w:bCs/>
        </w:rPr>
        <w:t xml:space="preserve"> </w:t>
      </w:r>
      <w:r w:rsidR="002B1DA1" w:rsidRPr="002B1DA1">
        <w:rPr>
          <w:b/>
          <w:bCs/>
          <w:i/>
        </w:rPr>
        <w:t>s</w:t>
      </w:r>
      <w:r w:rsidR="00B71607" w:rsidRPr="00B71607">
        <w:rPr>
          <w:bCs/>
        </w:rPr>
        <w:t xml:space="preserve"> </w:t>
      </w:r>
      <w:r w:rsidR="002B1DA1">
        <w:rPr>
          <w:bCs/>
        </w:rPr>
        <w:t>falls)</w:t>
      </w:r>
      <w:r w:rsidR="009F2B7D">
        <w:rPr>
          <w:bCs/>
        </w:rPr>
        <w:t>.</w:t>
      </w:r>
      <w:r w:rsidR="00B71607" w:rsidRPr="00B71607">
        <w:rPr>
          <w:bCs/>
        </w:rPr>
        <w:t xml:space="preserve"> </w:t>
      </w:r>
      <w:r w:rsidR="00652E31">
        <w:t>Since</w:t>
      </w:r>
      <w:r w:rsidR="00B71607" w:rsidRPr="00B71607">
        <w:t xml:space="preserve"> </w:t>
      </w:r>
      <w:r w:rsidR="0050743F">
        <w:rPr>
          <w:b/>
        </w:rPr>
        <w:t>g</w:t>
      </w:r>
      <w:r>
        <w:sym w:font="Symbol" w:char="F020"/>
      </w:r>
      <w:r>
        <w:t>&gt;</w:t>
      </w:r>
      <w:r>
        <w:sym w:font="Symbol" w:char="F020"/>
      </w:r>
      <w:proofErr w:type="spellStart"/>
      <w:r w:rsidR="0050743F">
        <w:rPr>
          <w:b/>
        </w:rPr>
        <w:t>g</w:t>
      </w:r>
      <w:r>
        <w:rPr>
          <w:b/>
          <w:smallCaps/>
          <w:vertAlign w:val="subscript"/>
        </w:rPr>
        <w:t>w</w:t>
      </w:r>
      <w:proofErr w:type="spellEnd"/>
      <w:r w:rsidR="00652E31">
        <w:t>,</w:t>
      </w:r>
      <w:r w:rsidR="00B71607" w:rsidRPr="00B71607">
        <w:t xml:space="preserve"> </w:t>
      </w:r>
      <w:r>
        <w:t>an</w:t>
      </w:r>
      <w:r w:rsidR="00B71607" w:rsidRPr="00B71607">
        <w:t xml:space="preserve"> </w:t>
      </w:r>
      <w:r>
        <w:t>upward</w:t>
      </w:r>
      <w:r w:rsidR="00B71607" w:rsidRPr="00B71607">
        <w:t xml:space="preserve"> </w:t>
      </w:r>
      <w:r>
        <w:t>surge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 w:rsidR="00150B85">
        <w:t>growth</w:t>
      </w:r>
      <w:r w:rsidR="00B71607" w:rsidRPr="00B71607">
        <w:t xml:space="preserve"> </w:t>
      </w:r>
      <w:r w:rsidR="00FD7D0B">
        <w:t>r</w:t>
      </w:r>
      <w:r w:rsidR="00FD7D0B">
        <w:t>e</w:t>
      </w:r>
      <w:r w:rsidR="00FD7D0B">
        <w:t>sults</w:t>
      </w:r>
      <w:r w:rsidR="00652E31">
        <w:t>.</w:t>
      </w:r>
      <w:r w:rsidR="00B71607" w:rsidRPr="00B71607">
        <w:t xml:space="preserve"> </w:t>
      </w:r>
    </w:p>
    <w:p w:rsidR="00CE1A65" w:rsidRPr="0066118A" w:rsidRDefault="00BA573C" w:rsidP="00666531">
      <w:pPr>
        <w:spacing w:line="240" w:lineRule="auto"/>
      </w:pPr>
      <w:r>
        <w:t>Of</w:t>
      </w:r>
      <w:r w:rsidR="00B71607" w:rsidRPr="00B71607">
        <w:t xml:space="preserve"> </w:t>
      </w:r>
      <w:r>
        <w:t>course,</w:t>
      </w:r>
      <w:r w:rsidR="00B71607" w:rsidRPr="00B71607">
        <w:t xml:space="preserve"> </w:t>
      </w:r>
      <w:r w:rsidR="0066118A">
        <w:t>as</w:t>
      </w:r>
      <w:r w:rsidR="00B71607" w:rsidRPr="00B71607">
        <w:t xml:space="preserve"> </w:t>
      </w:r>
      <w:r w:rsidR="0066118A">
        <w:t>shown</w:t>
      </w:r>
      <w:r w:rsidR="00B71607" w:rsidRPr="00B71607">
        <w:t xml:space="preserve"> </w:t>
      </w:r>
      <w:r w:rsidR="0066118A">
        <w:t>by</w:t>
      </w:r>
      <w:r w:rsidR="00B71607" w:rsidRPr="00B71607">
        <w:t xml:space="preserve"> </w:t>
      </w:r>
      <w:r w:rsidR="0066118A">
        <w:t>the</w:t>
      </w:r>
      <w:r w:rsidR="00B71607" w:rsidRPr="00B71607">
        <w:t xml:space="preserve"> </w:t>
      </w:r>
      <w:r w:rsidR="0066118A">
        <w:t>growth</w:t>
      </w:r>
      <w:r w:rsidR="00B71607" w:rsidRPr="00B71607">
        <w:t xml:space="preserve"> </w:t>
      </w:r>
      <w:r w:rsidR="0066118A">
        <w:t>path</w:t>
      </w:r>
      <w:r w:rsidR="00B71607" w:rsidRPr="00B71607">
        <w:t xml:space="preserve"> </w:t>
      </w:r>
      <w:r w:rsidR="0066118A">
        <w:t>represented</w:t>
      </w:r>
      <w:r w:rsidR="00B71607" w:rsidRPr="00B71607">
        <w:t xml:space="preserve"> </w:t>
      </w:r>
      <w:r w:rsidR="0066118A">
        <w:t>by</w:t>
      </w:r>
      <w:r w:rsidR="00B71607" w:rsidRPr="00B71607">
        <w:t xml:space="preserve"> </w:t>
      </w:r>
      <w:r w:rsidR="0066118A">
        <w:t>the</w:t>
      </w:r>
      <w:r w:rsidR="00B71607" w:rsidRPr="00B71607">
        <w:t xml:space="preserve"> </w:t>
      </w:r>
      <w:r w:rsidR="0066118A">
        <w:t>dashed</w:t>
      </w:r>
      <w:r w:rsidR="00B71607" w:rsidRPr="00B71607">
        <w:t xml:space="preserve"> </w:t>
      </w:r>
      <w:r w:rsidR="0066118A">
        <w:t>arrow</w:t>
      </w:r>
      <w:r w:rsidR="00B71607" w:rsidRPr="00B71607">
        <w:t xml:space="preserve"> </w:t>
      </w:r>
      <w:r w:rsidR="0066118A">
        <w:t>from</w:t>
      </w:r>
      <w:r w:rsidR="00B71607" w:rsidRPr="00B71607">
        <w:t xml:space="preserve"> </w:t>
      </w:r>
      <w:r w:rsidR="0066118A" w:rsidRPr="0066118A">
        <w:rPr>
          <w:b/>
        </w:rPr>
        <w:t>1</w:t>
      </w:r>
      <w:r w:rsidR="00B71607" w:rsidRPr="00B71607">
        <w:t xml:space="preserve"> </w:t>
      </w:r>
      <w:r w:rsidR="0066118A">
        <w:t>to</w:t>
      </w:r>
      <w:r w:rsidR="00B71607" w:rsidRPr="00B71607">
        <w:t xml:space="preserve"> </w:t>
      </w:r>
      <w:r w:rsidR="0066118A" w:rsidRPr="0066118A">
        <w:rPr>
          <w:b/>
        </w:rPr>
        <w:t>2</w:t>
      </w:r>
      <w:r w:rsidR="0066118A">
        <w:t>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="00652E31">
        <w:t>rub</w:t>
      </w:r>
      <w:r w:rsidR="00B71607" w:rsidRPr="00B71607">
        <w:t xml:space="preserve"> </w:t>
      </w:r>
      <w:r w:rsidR="00652E31">
        <w:t>is</w:t>
      </w:r>
      <w:r w:rsidR="00B71607" w:rsidRPr="00B71607">
        <w:t xml:space="preserve"> </w:t>
      </w:r>
      <w:r w:rsidR="00652E31">
        <w:t>that</w:t>
      </w:r>
      <w:r w:rsidR="00B71607" w:rsidRPr="00B71607">
        <w:t xml:space="preserve"> </w:t>
      </w:r>
      <w:r w:rsidR="00652E31">
        <w:t>the</w:t>
      </w:r>
      <w:r w:rsidR="00B71607" w:rsidRPr="00B71607">
        <w:t xml:space="preserve"> </w:t>
      </w:r>
      <w:r w:rsidR="00652E31">
        <w:t>economy</w:t>
      </w:r>
      <w:r w:rsidR="00B71607" w:rsidRPr="00B71607">
        <w:t xml:space="preserve"> </w:t>
      </w:r>
      <w:r w:rsidR="00C47C17">
        <w:t>exceeds</w:t>
      </w:r>
      <w:r w:rsidR="00B71607" w:rsidRPr="00B71607">
        <w:t xml:space="preserve"> </w:t>
      </w:r>
      <w:r w:rsidR="00ED7828">
        <w:t>what</w:t>
      </w:r>
      <w:r w:rsidR="00B71607" w:rsidRPr="00B71607">
        <w:t xml:space="preserve"> </w:t>
      </w:r>
      <w:r w:rsidR="00ED7828">
        <w:t>Hicks</w:t>
      </w:r>
      <w:r w:rsidR="00B71607" w:rsidRPr="00B71607">
        <w:t xml:space="preserve"> </w:t>
      </w:r>
      <w:r w:rsidR="00ED7828">
        <w:t>(1949)</w:t>
      </w:r>
      <w:r w:rsidR="00B71607" w:rsidRPr="00B71607">
        <w:t xml:space="preserve"> </w:t>
      </w:r>
      <w:r w:rsidR="008C3F70">
        <w:t>and</w:t>
      </w:r>
      <w:r w:rsidR="00B71607" w:rsidRPr="00B71607">
        <w:t xml:space="preserve"> </w:t>
      </w:r>
      <w:r w:rsidR="008C3F70">
        <w:t>others</w:t>
      </w:r>
      <w:r w:rsidR="00B71607" w:rsidRPr="00B71607">
        <w:t xml:space="preserve"> </w:t>
      </w:r>
      <w:r w:rsidR="00ED7828">
        <w:t>dubbed</w:t>
      </w:r>
      <w:r w:rsidR="00B71607" w:rsidRPr="00B71607">
        <w:t xml:space="preserve"> </w:t>
      </w:r>
      <w:r w:rsidR="00ED7828">
        <w:t>the</w:t>
      </w:r>
      <w:r w:rsidR="00B71607" w:rsidRPr="00B71607">
        <w:t xml:space="preserve"> </w:t>
      </w:r>
      <w:r w:rsidR="00ED7828">
        <w:t>“ceiling”</w:t>
      </w:r>
      <w:r w:rsidR="00B71607" w:rsidRPr="00B71607">
        <w:t xml:space="preserve"> </w:t>
      </w:r>
      <w:r w:rsidR="00ED7828">
        <w:t>on</w:t>
      </w:r>
      <w:r w:rsidR="00B71607" w:rsidRPr="00B71607">
        <w:t xml:space="preserve"> </w:t>
      </w:r>
      <w:r w:rsidR="00ED7828">
        <w:t>the</w:t>
      </w:r>
      <w:r w:rsidR="00B71607" w:rsidRPr="00B71607">
        <w:t xml:space="preserve"> </w:t>
      </w:r>
      <w:r w:rsidR="00ED7828">
        <w:t>growth</w:t>
      </w:r>
      <w:r w:rsidR="00B71607" w:rsidRPr="00B71607">
        <w:t xml:space="preserve"> </w:t>
      </w:r>
      <w:r w:rsidR="00ED7828">
        <w:t>rate</w:t>
      </w:r>
      <w:r w:rsidR="00B71607" w:rsidRPr="00B71607">
        <w:t xml:space="preserve"> </w:t>
      </w:r>
      <w:r>
        <w:t>set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716472">
        <w:t>so</w:t>
      </w:r>
      <w:r w:rsidR="00B71607" w:rsidRPr="00B71607">
        <w:t xml:space="preserve"> </w:t>
      </w:r>
      <w:r w:rsidR="00716472">
        <w:t>that</w:t>
      </w:r>
      <w:r w:rsidR="00B71607" w:rsidRPr="00B71607">
        <w:t xml:space="preserve"> </w:t>
      </w:r>
      <w:r w:rsidR="008363D6">
        <w:rPr>
          <w:b/>
        </w:rPr>
        <w:t>Y</w:t>
      </w:r>
      <w:r w:rsidR="00B71607" w:rsidRPr="00B71607">
        <w:t xml:space="preserve"> </w:t>
      </w:r>
      <w:r w:rsidR="00716472">
        <w:t>&gt;</w:t>
      </w:r>
      <w:r w:rsidR="00B71607" w:rsidRPr="00B71607">
        <w:t xml:space="preserve"> </w:t>
      </w:r>
      <w:r w:rsidR="00716472">
        <w:rPr>
          <w:b/>
        </w:rPr>
        <w:t>F</w:t>
      </w:r>
      <w:r w:rsidR="00CE1A65">
        <w:t>.</w:t>
      </w:r>
      <w:r w:rsidR="00B71607" w:rsidRPr="00B71607">
        <w:t xml:space="preserve"> </w:t>
      </w:r>
      <w:r w:rsidR="00CE1A65">
        <w:t>Th</w:t>
      </w:r>
      <w:r w:rsidR="00150B85">
        <w:t>e</w:t>
      </w:r>
      <w:r w:rsidR="00B71607" w:rsidRPr="00B71607">
        <w:t xml:space="preserve"> </w:t>
      </w:r>
      <w:r w:rsidR="006016DC">
        <w:t>inflationary</w:t>
      </w:r>
      <w:r w:rsidR="00B71607" w:rsidRPr="00B71607">
        <w:t xml:space="preserve"> </w:t>
      </w:r>
      <w:r w:rsidR="006016DC">
        <w:t>gap</w:t>
      </w:r>
      <w:r w:rsidR="00B71607" w:rsidRPr="00B71607">
        <w:t xml:space="preserve"> </w:t>
      </w:r>
      <w:r w:rsidR="00CE1A65">
        <w:t>causes</w:t>
      </w:r>
      <w:r w:rsidR="00B71607" w:rsidRPr="00B71607">
        <w:t xml:space="preserve"> </w:t>
      </w:r>
      <w:r w:rsidR="00CE1A65">
        <w:t>accelerating</w:t>
      </w:r>
      <w:r w:rsidR="00B71607" w:rsidRPr="00B71607">
        <w:t xml:space="preserve"> </w:t>
      </w:r>
      <w:r w:rsidR="00CE1A65">
        <w:t>inflation</w:t>
      </w:r>
      <w:r w:rsidR="00B71607" w:rsidRPr="00B71607">
        <w:t xml:space="preserve"> </w:t>
      </w:r>
      <w:r w:rsidR="00CE1A65">
        <w:t>(</w:t>
      </w:r>
      <w:r w:rsidR="00CE1A65">
        <w:rPr>
          <w:noProof/>
        </w:rPr>
        <w:t>Lerner</w:t>
      </w:r>
      <w:r w:rsidR="00CE1A65">
        <w:t>,</w:t>
      </w:r>
      <w:r w:rsidR="00B71607" w:rsidRPr="00B71607">
        <w:t xml:space="preserve"> </w:t>
      </w:r>
      <w:r w:rsidR="00FE5525">
        <w:t>1951</w:t>
      </w:r>
      <w:r w:rsidR="00CE1A65">
        <w:t>)</w:t>
      </w:r>
      <w:r w:rsidR="00B71607" w:rsidRPr="00B71607">
        <w:t xml:space="preserve"> </w:t>
      </w:r>
      <w:r w:rsidR="00CE1A65">
        <w:t>and/or</w:t>
      </w:r>
      <w:r w:rsidR="00B71607" w:rsidRPr="00B71607">
        <w:t xml:space="preserve"> </w:t>
      </w:r>
      <w:r w:rsidR="00CE1A65">
        <w:t>deepening</w:t>
      </w:r>
      <w:r w:rsidR="00B71607" w:rsidRPr="00B71607">
        <w:t xml:space="preserve"> </w:t>
      </w:r>
      <w:r w:rsidR="00CE1A65">
        <w:t>shortages</w:t>
      </w:r>
      <w:r w:rsidR="00B71607" w:rsidRPr="00B71607">
        <w:t xml:space="preserve"> </w:t>
      </w:r>
      <w:r w:rsidR="00CE1A65">
        <w:t>of</w:t>
      </w:r>
      <w:r w:rsidR="00B71607" w:rsidRPr="00B71607">
        <w:t xml:space="preserve"> </w:t>
      </w:r>
      <w:r w:rsidR="00CE1A65">
        <w:t>goods</w:t>
      </w:r>
      <w:r w:rsidR="00B71607" w:rsidRPr="00B71607">
        <w:t xml:space="preserve"> </w:t>
      </w:r>
      <w:r w:rsidR="00CE1A65">
        <w:t>and</w:t>
      </w:r>
      <w:r w:rsidR="00B71607" w:rsidRPr="00B71607">
        <w:t xml:space="preserve"> </w:t>
      </w:r>
      <w:r w:rsidR="00CE1A65">
        <w:t>services</w:t>
      </w:r>
      <w:r w:rsidR="00B71607" w:rsidRPr="00B71607">
        <w:t xml:space="preserve"> </w:t>
      </w:r>
      <w:r w:rsidR="009F2B7D">
        <w:t>(as</w:t>
      </w:r>
      <w:r w:rsidR="00B71607" w:rsidRPr="00B71607">
        <w:t xml:space="preserve"> </w:t>
      </w:r>
      <w:r w:rsidR="009F2B7D">
        <w:t>during</w:t>
      </w:r>
      <w:r w:rsidR="00B71607" w:rsidRPr="00B71607">
        <w:t xml:space="preserve"> </w:t>
      </w:r>
      <w:r w:rsidR="009F2B7D">
        <w:t>World</w:t>
      </w:r>
      <w:r w:rsidR="00B71607" w:rsidRPr="00B71607">
        <w:t xml:space="preserve"> </w:t>
      </w:r>
      <w:r w:rsidR="009F2B7D">
        <w:t>War</w:t>
      </w:r>
      <w:r w:rsidR="00B71607" w:rsidRPr="00B71607">
        <w:t xml:space="preserve"> </w:t>
      </w:r>
      <w:r w:rsidR="009F2B7D">
        <w:t>II)</w:t>
      </w:r>
      <w:r w:rsidR="00150B85">
        <w:t>.</w:t>
      </w:r>
      <w:r w:rsidR="00162AC4">
        <w:rPr>
          <w:rStyle w:val="EndnoteReference"/>
        </w:rPr>
        <w:endnoteReference w:id="26"/>
      </w:r>
      <w:r w:rsidR="00B71607" w:rsidRPr="00B71607">
        <w:t xml:space="preserve"> </w:t>
      </w:r>
      <w:r w:rsidR="0066118A">
        <w:t>In</w:t>
      </w:r>
      <w:r w:rsidR="00B71607" w:rsidRPr="00B71607">
        <w:t xml:space="preserve"> </w:t>
      </w:r>
      <w:r w:rsidR="0066118A">
        <w:t>the</w:t>
      </w:r>
      <w:r w:rsidR="00B71607" w:rsidRPr="00B71607">
        <w:t xml:space="preserve"> </w:t>
      </w:r>
      <w:r w:rsidR="0066118A">
        <w:t>end,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 w:rsidR="006B7A71">
        <w:rPr>
          <w:noProof/>
        </w:rPr>
        <w:t>’s</w:t>
      </w:r>
      <w:r w:rsidR="00B71607" w:rsidRPr="00B71607">
        <w:rPr>
          <w:noProof/>
        </w:rPr>
        <w:t xml:space="preserve"> </w:t>
      </w:r>
      <w:r w:rsidR="00162AC4">
        <w:rPr>
          <w:noProof/>
        </w:rPr>
        <w:t xml:space="preserve">conclusion </w:t>
      </w:r>
      <w:r w:rsidR="006B7A71">
        <w:rPr>
          <w:noProof/>
        </w:rPr>
        <w:t>makes</w:t>
      </w:r>
      <w:r w:rsidR="00B71607" w:rsidRPr="00B71607">
        <w:rPr>
          <w:noProof/>
        </w:rPr>
        <w:t xml:space="preserve"> </w:t>
      </w:r>
      <w:r w:rsidR="006B7A71">
        <w:rPr>
          <w:noProof/>
        </w:rPr>
        <w:t>sense:</w:t>
      </w:r>
      <w:r w:rsidR="00B71607" w:rsidRPr="00B71607">
        <w:rPr>
          <w:noProof/>
        </w:rPr>
        <w:t xml:space="preserve"> </w:t>
      </w:r>
      <w:r w:rsidR="0066118A">
        <w:t>inflation</w:t>
      </w:r>
      <w:r w:rsidR="00B71607" w:rsidRPr="00B71607">
        <w:t xml:space="preserve"> </w:t>
      </w:r>
      <w:r w:rsidR="0066118A">
        <w:t>and/or</w:t>
      </w:r>
      <w:r w:rsidR="00B71607" w:rsidRPr="00B71607">
        <w:t xml:space="preserve"> </w:t>
      </w:r>
      <w:r w:rsidR="0066118A">
        <w:t>rampant</w:t>
      </w:r>
      <w:r w:rsidR="00B71607" w:rsidRPr="00B71607">
        <w:t xml:space="preserve"> </w:t>
      </w:r>
      <w:r w:rsidR="0066118A">
        <w:t>shortages</w:t>
      </w:r>
      <w:r w:rsidR="00B71607" w:rsidRPr="00B71607">
        <w:t xml:space="preserve"> </w:t>
      </w:r>
      <w:r w:rsidR="00EF2567">
        <w:t>i</w:t>
      </w:r>
      <w:r w:rsidR="00EF2567">
        <w:t>n</w:t>
      </w:r>
      <w:r w:rsidR="00EF2567">
        <w:t>duc</w:t>
      </w:r>
      <w:r w:rsidR="006B7A71">
        <w:t>e</w:t>
      </w:r>
      <w:r w:rsidR="00B71607" w:rsidRPr="00B71607">
        <w:t xml:space="preserve"> </w:t>
      </w:r>
      <w:r w:rsidR="00CE1A65">
        <w:t>recessionary</w:t>
      </w:r>
      <w:r w:rsidR="00B71607" w:rsidRPr="00B71607">
        <w:t xml:space="preserve"> </w:t>
      </w:r>
      <w:r w:rsidR="00CE1A65">
        <w:t>tendencies</w:t>
      </w:r>
      <w:r w:rsidR="00B71607" w:rsidRPr="00B71607">
        <w:t xml:space="preserve"> </w:t>
      </w:r>
      <w:r w:rsidR="00CE1A65">
        <w:t>which</w:t>
      </w:r>
      <w:r w:rsidR="00B71607" w:rsidRPr="00B71607">
        <w:t xml:space="preserve"> </w:t>
      </w:r>
      <w:r w:rsidR="00CE1A65">
        <w:t>“drag</w:t>
      </w:r>
      <w:r w:rsidR="00B71607" w:rsidRPr="00B71607">
        <w:t xml:space="preserve"> </w:t>
      </w:r>
      <w:r w:rsidR="00CE1A65">
        <w:t>down”</w:t>
      </w:r>
      <w:r w:rsidR="00B71607" w:rsidRPr="00B71607">
        <w:t xml:space="preserve"> </w:t>
      </w:r>
      <w:r w:rsidR="00CE1A65">
        <w:t>the</w:t>
      </w:r>
      <w:r w:rsidR="00B71607" w:rsidRPr="00B71607">
        <w:t xml:space="preserve"> </w:t>
      </w:r>
      <w:r w:rsidR="00150B85">
        <w:t>actual</w:t>
      </w:r>
      <w:r w:rsidR="00B71607" w:rsidRPr="00B71607">
        <w:t xml:space="preserve"> </w:t>
      </w:r>
      <w:r w:rsidR="00CE1A65">
        <w:t>growth</w:t>
      </w:r>
      <w:r w:rsidR="00B71607" w:rsidRPr="00B71607">
        <w:t xml:space="preserve"> </w:t>
      </w:r>
      <w:r w:rsidR="00CE1A65">
        <w:t>rate</w:t>
      </w:r>
      <w:r w:rsidR="00150B85">
        <w:t>,</w:t>
      </w:r>
      <w:r w:rsidR="00B71607" w:rsidRPr="00B71607">
        <w:t xml:space="preserve"> </w:t>
      </w:r>
      <w:r w:rsidR="00150B85">
        <w:t>keeping</w:t>
      </w:r>
      <w:r w:rsidR="00B71607" w:rsidRPr="00B71607">
        <w:t xml:space="preserve"> </w:t>
      </w:r>
      <w:r w:rsidR="00CE1A65">
        <w:t>its</w:t>
      </w:r>
      <w:r w:rsidR="00B71607" w:rsidRPr="00B71607">
        <w:t xml:space="preserve"> </w:t>
      </w:r>
      <w:r w:rsidR="00CE1A65">
        <w:t>“ave</w:t>
      </w:r>
      <w:r w:rsidR="00CE1A65">
        <w:t>r</w:t>
      </w:r>
      <w:r w:rsidR="00CE1A65">
        <w:t>age</w:t>
      </w:r>
      <w:r w:rsidR="00B71607" w:rsidRPr="00B71607">
        <w:t xml:space="preserve"> </w:t>
      </w:r>
      <w:r w:rsidR="00CE1A65">
        <w:t>value</w:t>
      </w:r>
      <w:r w:rsidR="00B71607" w:rsidRPr="00B71607">
        <w:t xml:space="preserve"> </w:t>
      </w:r>
      <w:r w:rsidR="00CE1A65">
        <w:t>over</w:t>
      </w:r>
      <w:r w:rsidR="00B71607" w:rsidRPr="00B71607">
        <w:t xml:space="preserve"> </w:t>
      </w:r>
      <w:r w:rsidR="00CE1A65">
        <w:t>a</w:t>
      </w:r>
      <w:r w:rsidR="00B71607" w:rsidRPr="00B71607">
        <w:t xml:space="preserve"> </w:t>
      </w:r>
      <w:r w:rsidR="00CE1A65">
        <w:t>term</w:t>
      </w:r>
      <w:r w:rsidR="00B71607" w:rsidRPr="00B71607">
        <w:t xml:space="preserve"> </w:t>
      </w:r>
      <w:r w:rsidR="00CE1A65">
        <w:t>of</w:t>
      </w:r>
      <w:r w:rsidR="00B71607" w:rsidRPr="00B71607">
        <w:t xml:space="preserve"> </w:t>
      </w:r>
      <w:r w:rsidR="00CE1A65">
        <w:t>years</w:t>
      </w:r>
      <w:r w:rsidR="00B71607" w:rsidRPr="00B71607">
        <w:t xml:space="preserve"> </w:t>
      </w:r>
      <w:r w:rsidR="00CE1A65">
        <w:t>down</w:t>
      </w:r>
      <w:r w:rsidR="00B71607" w:rsidRPr="00B71607">
        <w:t xml:space="preserve"> </w:t>
      </w:r>
      <w:r w:rsidR="00CE1A65">
        <w:t>to</w:t>
      </w:r>
      <w:r w:rsidR="00B71607" w:rsidRPr="00B71607">
        <w:t xml:space="preserve"> </w:t>
      </w:r>
      <w:r w:rsidR="00CE1A65">
        <w:t>the</w:t>
      </w:r>
      <w:r w:rsidR="00B71607" w:rsidRPr="00B71607">
        <w:t xml:space="preserve"> </w:t>
      </w:r>
      <w:r w:rsidR="00CE1A65">
        <w:t>natural</w:t>
      </w:r>
      <w:r w:rsidR="00B71607" w:rsidRPr="00B71607">
        <w:t xml:space="preserve"> </w:t>
      </w:r>
      <w:r w:rsidR="00CE1A65">
        <w:t>rate”</w:t>
      </w:r>
      <w:r w:rsidR="00B71607" w:rsidRPr="00B71607">
        <w:t xml:space="preserve"> </w:t>
      </w:r>
      <w:r w:rsidR="0066118A">
        <w:t>of</w:t>
      </w:r>
      <w:r w:rsidR="00B71607" w:rsidRPr="00B71607">
        <w:t xml:space="preserve"> </w:t>
      </w:r>
      <w:r w:rsidR="0066118A">
        <w:t>growth.</w:t>
      </w:r>
      <w:r w:rsidR="00B71607" w:rsidRPr="00B71607">
        <w:t xml:space="preserve"> </w:t>
      </w:r>
      <w:r w:rsidR="00E762C1">
        <w:t>That</w:t>
      </w:r>
      <w:r w:rsidR="00B71607" w:rsidRPr="00B71607">
        <w:t xml:space="preserve"> </w:t>
      </w:r>
      <w:r w:rsidR="00E762C1">
        <w:t>is,</w:t>
      </w:r>
      <w:r w:rsidR="00B71607" w:rsidRPr="00B71607">
        <w:t xml:space="preserve"> </w:t>
      </w:r>
      <w:r w:rsidR="00E762C1">
        <w:t>the</w:t>
      </w:r>
      <w:r w:rsidR="00B71607" w:rsidRPr="00B71607">
        <w:t xml:space="preserve"> </w:t>
      </w:r>
      <w:r w:rsidR="00E762C1">
        <w:t>model</w:t>
      </w:r>
      <w:r w:rsidR="00B71607" w:rsidRPr="00B71607">
        <w:t xml:space="preserve"> </w:t>
      </w:r>
      <w:r w:rsidR="0066118A">
        <w:t>a</w:t>
      </w:r>
      <w:r w:rsidR="0066118A">
        <w:t>p</w:t>
      </w:r>
      <w:r w:rsidR="0066118A">
        <w:t>proaches</w:t>
      </w:r>
      <w:r w:rsidR="00B71607" w:rsidRPr="00B71607">
        <w:t xml:space="preserve"> </w:t>
      </w:r>
      <w:r w:rsidR="0066118A">
        <w:t>a</w:t>
      </w:r>
      <w:r w:rsidR="00B71607" w:rsidRPr="00B71607">
        <w:t xml:space="preserve"> </w:t>
      </w:r>
      <w:r w:rsidR="0066118A">
        <w:t>point</w:t>
      </w:r>
      <w:r w:rsidR="00B71607" w:rsidRPr="00B71607">
        <w:t xml:space="preserve"> </w:t>
      </w:r>
      <w:r w:rsidR="0066118A">
        <w:t>such</w:t>
      </w:r>
      <w:r w:rsidR="00B71607" w:rsidRPr="00B71607">
        <w:t xml:space="preserve"> </w:t>
      </w:r>
      <w:r w:rsidR="0066118A">
        <w:t>as</w:t>
      </w:r>
      <w:r w:rsidR="00B71607" w:rsidRPr="00B71607">
        <w:t xml:space="preserve"> </w:t>
      </w:r>
      <w:r w:rsidR="0066118A" w:rsidRPr="0066118A">
        <w:rPr>
          <w:b/>
        </w:rPr>
        <w:t>3</w:t>
      </w:r>
      <w:r w:rsidR="0066118A">
        <w:t>.</w:t>
      </w:r>
      <w:r w:rsidR="00B71607" w:rsidRPr="00B71607">
        <w:t xml:space="preserve"> </w:t>
      </w:r>
    </w:p>
    <w:p w:rsidR="00150B85" w:rsidRDefault="00B25254" w:rsidP="00666531">
      <w:pPr>
        <w:spacing w:line="240" w:lineRule="auto"/>
      </w:pPr>
      <w:r>
        <w:t>Dropping</w:t>
      </w:r>
      <w:r w:rsidR="00B71607" w:rsidRPr="00B71607">
        <w:t xml:space="preserve"> </w:t>
      </w:r>
      <w:r>
        <w:t>assumption</w:t>
      </w:r>
      <w:r w:rsidR="00B71607" w:rsidRPr="00B71607">
        <w:t xml:space="preserve"> </w:t>
      </w:r>
      <w:r>
        <w:t>(</w:t>
      </w:r>
      <w:r w:rsidR="005C5AE6">
        <w:t>ii</w:t>
      </w:r>
      <w:r>
        <w:t>),</w:t>
      </w:r>
      <w:r w:rsidR="00B71607" w:rsidRPr="00B71607">
        <w:t xml:space="preserve"> </w:t>
      </w:r>
      <w:r w:rsidR="00C25721">
        <w:t>the</w:t>
      </w:r>
      <w:r w:rsidR="00B71607" w:rsidRPr="00B71607">
        <w:t xml:space="preserve"> </w:t>
      </w:r>
      <w:r w:rsidR="00FD7D0B">
        <w:t>expansionary</w:t>
      </w:r>
      <w:r w:rsidR="00B71607" w:rsidRPr="00B71607">
        <w:t xml:space="preserve"> </w:t>
      </w:r>
      <w:r w:rsidR="002A50E6">
        <w:t>process</w:t>
      </w:r>
      <w:r w:rsidR="00B71607" w:rsidRPr="00B71607">
        <w:t xml:space="preserve"> </w:t>
      </w:r>
      <w:r w:rsidR="00154CF5">
        <w:t>could</w:t>
      </w:r>
      <w:r w:rsidR="00B71607" w:rsidRPr="00B71607">
        <w:t xml:space="preserve"> </w:t>
      </w:r>
      <w:r w:rsidR="009519DD">
        <w:t>instead</w:t>
      </w:r>
      <w:r w:rsidR="00B71607" w:rsidRPr="00B71607">
        <w:t xml:space="preserve"> </w:t>
      </w:r>
      <w:r w:rsidR="00154CF5">
        <w:t>start</w:t>
      </w:r>
      <w:r w:rsidR="00B71607" w:rsidRPr="00B71607">
        <w:t xml:space="preserve"> </w:t>
      </w:r>
      <w:r w:rsidR="00154CF5">
        <w:t>with</w:t>
      </w:r>
      <w:r w:rsidR="00B71607" w:rsidRPr="00B71607">
        <w:t xml:space="preserve"> </w:t>
      </w:r>
      <w:r w:rsidR="008363D6">
        <w:rPr>
          <w:b/>
        </w:rPr>
        <w:t>Y</w:t>
      </w:r>
      <w:r w:rsidR="00B71607" w:rsidRPr="00B71607">
        <w:t xml:space="preserve"> </w:t>
      </w:r>
      <w:r w:rsidR="00154CF5">
        <w:t>&lt;</w:t>
      </w:r>
      <w:r w:rsidR="00B71607" w:rsidRPr="00B71607">
        <w:t xml:space="preserve"> </w:t>
      </w:r>
      <w:r w:rsidR="00154CF5">
        <w:rPr>
          <w:b/>
        </w:rPr>
        <w:t>F</w:t>
      </w:r>
      <w:r w:rsidR="00B71607" w:rsidRPr="00B71607">
        <w:t xml:space="preserve"> </w:t>
      </w:r>
      <w:r w:rsidR="00154CF5">
        <w:t>and</w:t>
      </w:r>
      <w:r w:rsidR="00B71607" w:rsidRPr="00B71607">
        <w:t xml:space="preserve"> </w:t>
      </w:r>
      <w:r w:rsidR="00154CF5">
        <w:rPr>
          <w:b/>
          <w:i/>
        </w:rPr>
        <w:t>e</w:t>
      </w:r>
      <w:r w:rsidR="00B71607" w:rsidRPr="00B71607">
        <w:t xml:space="preserve"> </w:t>
      </w:r>
      <w:r w:rsidR="00154CF5">
        <w:t>&lt;</w:t>
      </w:r>
      <w:r w:rsidR="00B71607" w:rsidRPr="00B71607">
        <w:t xml:space="preserve"> </w:t>
      </w:r>
      <w:r w:rsidR="00154CF5">
        <w:t>1</w:t>
      </w:r>
      <w:r w:rsidR="00B71607" w:rsidRPr="00B71607">
        <w:t xml:space="preserve"> </w:t>
      </w:r>
      <w:r w:rsidR="00C47C17">
        <w:t>(a</w:t>
      </w:r>
      <w:r w:rsidR="00B71607" w:rsidRPr="00B71607">
        <w:t xml:space="preserve"> </w:t>
      </w:r>
      <w:r w:rsidR="00C47C17">
        <w:t>recessionary</w:t>
      </w:r>
      <w:r w:rsidR="00B71607" w:rsidRPr="00B71607">
        <w:t xml:space="preserve"> </w:t>
      </w:r>
      <w:r w:rsidR="00C47C17">
        <w:t>gap)</w:t>
      </w:r>
      <w:r w:rsidR="00B71607" w:rsidRPr="00B71607">
        <w:t xml:space="preserve"> </w:t>
      </w:r>
      <w:r w:rsidR="0066118A">
        <w:t>as</w:t>
      </w:r>
      <w:r w:rsidR="00B71607" w:rsidRPr="00B71607">
        <w:t xml:space="preserve"> </w:t>
      </w:r>
      <w:r w:rsidR="0066118A">
        <w:t>at</w:t>
      </w:r>
      <w:r w:rsidR="00B71607" w:rsidRPr="00B71607">
        <w:t xml:space="preserve"> </w:t>
      </w:r>
      <w:r w:rsidR="0066118A">
        <w:t>point</w:t>
      </w:r>
      <w:r w:rsidR="00B71607" w:rsidRPr="00B71607">
        <w:t xml:space="preserve"> </w:t>
      </w:r>
      <w:r w:rsidR="0066118A" w:rsidRPr="0066118A">
        <w:rPr>
          <w:b/>
        </w:rPr>
        <w:t>4</w:t>
      </w:r>
      <w:r w:rsidR="004B37DB">
        <w:t>.</w:t>
      </w:r>
      <w:r w:rsidR="00B71607" w:rsidRPr="00B71607">
        <w:t xml:space="preserve"> </w:t>
      </w:r>
      <w:r w:rsidR="004B37DB">
        <w:t>As</w:t>
      </w:r>
      <w:r w:rsidR="00B71607" w:rsidRPr="00B71607">
        <w:t xml:space="preserve"> </w:t>
      </w:r>
      <w:r w:rsidR="0066118A">
        <w:t>before,</w:t>
      </w:r>
      <w:r w:rsidR="00B71607" w:rsidRPr="00B71607">
        <w:t xml:space="preserve"> </w:t>
      </w:r>
      <w:r w:rsidR="0066118A">
        <w:t>as</w:t>
      </w:r>
      <w:r w:rsidR="004B37DB">
        <w:t>sume</w:t>
      </w:r>
      <w:r w:rsidR="00B71607" w:rsidRPr="00B71607">
        <w:t xml:space="preserve"> </w:t>
      </w:r>
      <w:r w:rsidR="0050743F">
        <w:rPr>
          <w:b/>
        </w:rPr>
        <w:t>g</w:t>
      </w:r>
      <w:r w:rsidR="00B71607" w:rsidRPr="00B71607">
        <w:t xml:space="preserve"> </w:t>
      </w:r>
      <w:r w:rsidR="00081812">
        <w:t>=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081812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081812">
        <w:t>=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081812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C47C17">
        <w:t>initially</w:t>
      </w:r>
      <w:r w:rsidR="00154CF5">
        <w:t>.</w:t>
      </w:r>
      <w:r w:rsidR="00B71607" w:rsidRPr="00B71607">
        <w:t xml:space="preserve"> </w:t>
      </w:r>
      <w:r w:rsidR="004B37DB">
        <w:t>Then,</w:t>
      </w:r>
      <w:r w:rsidR="00B71607" w:rsidRPr="00B71607">
        <w:t xml:space="preserve"> </w:t>
      </w:r>
      <w:r w:rsidR="004B37DB">
        <w:t>if</w:t>
      </w:r>
      <w:r w:rsidR="00B71607" w:rsidRPr="00B71607">
        <w:t xml:space="preserve"> </w:t>
      </w:r>
      <w:r w:rsidR="0050743F">
        <w:rPr>
          <w:b/>
        </w:rPr>
        <w:t>g</w:t>
      </w:r>
      <w:r w:rsidR="00B71607" w:rsidRPr="00B71607">
        <w:t xml:space="preserve"> </w:t>
      </w:r>
      <w:r w:rsidR="00081812">
        <w:t>ris</w:t>
      </w:r>
      <w:r w:rsidR="004B37DB">
        <w:t>es</w:t>
      </w:r>
      <w:r w:rsidR="00B71607" w:rsidRPr="00B71607">
        <w:t xml:space="preserve"> </w:t>
      </w:r>
      <w:r w:rsidR="00081812">
        <w:t>above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081812">
        <w:rPr>
          <w:b/>
          <w:smallCaps/>
          <w:vertAlign w:val="subscript"/>
        </w:rPr>
        <w:t>w</w:t>
      </w:r>
      <w:proofErr w:type="spellEnd"/>
      <w:r w:rsidR="008D3A5A">
        <w:t>,</w:t>
      </w:r>
      <w:r w:rsidR="00B71607" w:rsidRPr="00B71607">
        <w:t xml:space="preserve"> </w:t>
      </w:r>
      <w:r w:rsidR="008D3A5A">
        <w:t>output</w:t>
      </w:r>
      <w:r w:rsidR="00B71607" w:rsidRPr="00B71607">
        <w:t xml:space="preserve"> </w:t>
      </w:r>
      <w:r w:rsidR="004B37DB">
        <w:t>rises</w:t>
      </w:r>
      <w:r w:rsidR="00B71607" w:rsidRPr="00B71607">
        <w:t xml:space="preserve"> </w:t>
      </w:r>
      <w:r w:rsidR="008D3A5A">
        <w:t>toward</w:t>
      </w:r>
      <w:r w:rsidR="00B71607" w:rsidRPr="00B71607">
        <w:t xml:space="preserve"> </w:t>
      </w:r>
      <w:r w:rsidR="0066118A">
        <w:t>line</w:t>
      </w:r>
      <w:r w:rsidR="00B71607" w:rsidRPr="00B71607">
        <w:t xml:space="preserve"> </w:t>
      </w:r>
      <w:r w:rsidR="008D3A5A">
        <w:rPr>
          <w:b/>
        </w:rPr>
        <w:t>F</w:t>
      </w:r>
      <w:r w:rsidR="00B71607" w:rsidRPr="00B71607">
        <w:t xml:space="preserve"> </w:t>
      </w:r>
      <w:r w:rsidR="00C47C17">
        <w:t>with</w:t>
      </w:r>
      <w:r w:rsidR="00B71607" w:rsidRPr="00B71607">
        <w:t xml:space="preserve"> </w:t>
      </w:r>
      <w:r w:rsidR="008D3A5A">
        <w:rPr>
          <w:b/>
          <w:i/>
        </w:rPr>
        <w:t>e</w:t>
      </w:r>
      <w:r w:rsidR="00B71607" w:rsidRPr="00B71607">
        <w:t xml:space="preserve"> </w:t>
      </w:r>
      <w:r w:rsidR="00081812">
        <w:t>and</w:t>
      </w:r>
      <w:r w:rsidR="00B71607" w:rsidRPr="00B71607">
        <w:t xml:space="preserve"> </w:t>
      </w:r>
      <w:r w:rsidR="003F1BC8">
        <w:rPr>
          <w:b/>
          <w:i/>
        </w:rPr>
        <w:t>y</w:t>
      </w:r>
      <w:r w:rsidR="00B71607" w:rsidRPr="00B71607">
        <w:t xml:space="preserve"> </w:t>
      </w:r>
      <w:r w:rsidR="00C47C17">
        <w:t>rising</w:t>
      </w:r>
      <w:r w:rsidR="008D3A5A">
        <w:t>.</w:t>
      </w:r>
      <w:r w:rsidR="00B71607" w:rsidRPr="00B71607">
        <w:t xml:space="preserve"> </w:t>
      </w:r>
      <w:r w:rsidR="008D3A5A">
        <w:t>Then,</w:t>
      </w:r>
      <w:r w:rsidR="00B71607" w:rsidRPr="00B71607">
        <w:t xml:space="preserve"> </w:t>
      </w:r>
      <w:r w:rsidR="008D3A5A">
        <w:t>once</w:t>
      </w:r>
      <w:r w:rsidR="00B71607" w:rsidRPr="00B71607">
        <w:t xml:space="preserve"> </w:t>
      </w:r>
      <w:r w:rsidR="008D3A5A">
        <w:rPr>
          <w:b/>
        </w:rPr>
        <w:t>F</w:t>
      </w:r>
      <w:r w:rsidR="00B71607" w:rsidRPr="00B71607">
        <w:t xml:space="preserve"> </w:t>
      </w:r>
      <w:r w:rsidR="002A50E6">
        <w:t>is</w:t>
      </w:r>
      <w:r w:rsidR="00B71607" w:rsidRPr="00B71607">
        <w:t xml:space="preserve"> </w:t>
      </w:r>
      <w:r w:rsidR="008D3A5A">
        <w:t>exceeded,</w:t>
      </w:r>
      <w:r w:rsidR="00B71607" w:rsidRPr="00B71607">
        <w:t xml:space="preserve"> </w:t>
      </w:r>
      <w:r w:rsidR="003B48B5">
        <w:t>the</w:t>
      </w:r>
      <w:r w:rsidR="00B71607" w:rsidRPr="00B71607">
        <w:t xml:space="preserve"> </w:t>
      </w:r>
      <w:r w:rsidR="008D3A5A">
        <w:t>infl</w:t>
      </w:r>
      <w:r w:rsidR="008D3A5A">
        <w:t>a</w:t>
      </w:r>
      <w:r w:rsidR="008D3A5A">
        <w:t>tionary</w:t>
      </w:r>
      <w:r w:rsidR="00B71607" w:rsidRPr="00B71607">
        <w:t xml:space="preserve"> </w:t>
      </w:r>
      <w:r w:rsidR="008D3A5A">
        <w:t>story</w:t>
      </w:r>
      <w:r w:rsidR="00B71607" w:rsidRPr="00B71607">
        <w:t xml:space="preserve"> </w:t>
      </w:r>
      <w:r w:rsidR="006E39D2">
        <w:t>limned</w:t>
      </w:r>
      <w:r w:rsidR="00B71607" w:rsidRPr="00B71607">
        <w:t xml:space="preserve"> </w:t>
      </w:r>
      <w:r w:rsidR="006E39D2">
        <w:t>above</w:t>
      </w:r>
      <w:r w:rsidR="00B71607" w:rsidRPr="00B71607">
        <w:t xml:space="preserve"> </w:t>
      </w:r>
      <w:r w:rsidR="008D3A5A">
        <w:t>applies</w:t>
      </w:r>
      <w:r w:rsidR="005C5AE6">
        <w:t xml:space="preserve"> in an unaltered form</w:t>
      </w:r>
      <w:r w:rsidR="008D3A5A">
        <w:t>.</w:t>
      </w:r>
      <w:r w:rsidR="00B71607" w:rsidRPr="00B71607">
        <w:t xml:space="preserve"> </w:t>
      </w:r>
      <w:r w:rsidR="00AB5F3C">
        <w:t>Even</w:t>
      </w:r>
      <w:r w:rsidR="00B71607" w:rsidRPr="00B71607">
        <w:t xml:space="preserve"> </w:t>
      </w:r>
      <w:r w:rsidR="00AB5F3C">
        <w:t>before</w:t>
      </w:r>
      <w:r w:rsidR="00B71607" w:rsidRPr="00B71607">
        <w:t xml:space="preserve"> </w:t>
      </w:r>
      <w:r w:rsidR="00AB5F3C">
        <w:t>that</w:t>
      </w:r>
      <w:r w:rsidR="008019B2">
        <w:t>,</w:t>
      </w:r>
      <w:r w:rsidR="00B71607" w:rsidRPr="00B71607">
        <w:t xml:space="preserve"> </w:t>
      </w:r>
      <w:r w:rsidR="00C47C17">
        <w:t>unless</w:t>
      </w:r>
      <w:r w:rsidR="00B71607" w:rsidRPr="00B71607">
        <w:t xml:space="preserve"> </w:t>
      </w:r>
      <w:r w:rsidR="00C47C17">
        <w:rPr>
          <w:b/>
        </w:rPr>
        <w:t>Z</w:t>
      </w:r>
      <w:r w:rsidR="00B71607" w:rsidRPr="00B71607">
        <w:t xml:space="preserve"> </w:t>
      </w:r>
      <w:r w:rsidR="00C47C17">
        <w:t>&gt;</w:t>
      </w:r>
      <w:r w:rsidR="00B71607" w:rsidRPr="00B71607">
        <w:t xml:space="preserve"> </w:t>
      </w:r>
      <w:r w:rsidR="00C47C17">
        <w:rPr>
          <w:b/>
        </w:rPr>
        <w:t>F</w:t>
      </w:r>
      <w:r w:rsidR="00C47C17">
        <w:t>,</w:t>
      </w:r>
      <w:r w:rsidR="00B71607" w:rsidRPr="00B71607">
        <w:t xml:space="preserve"> </w:t>
      </w:r>
      <w:r w:rsidR="00AB5F3C">
        <w:t>bo</w:t>
      </w:r>
      <w:r w:rsidR="00AB5F3C">
        <w:t>t</w:t>
      </w:r>
      <w:r w:rsidR="00AB5F3C">
        <w:lastRenderedPageBreak/>
        <w:t>tlenecks</w:t>
      </w:r>
      <w:r w:rsidR="00B71607" w:rsidRPr="00B71607">
        <w:t xml:space="preserve"> </w:t>
      </w:r>
      <w:r w:rsidR="00C47C17">
        <w:t>that</w:t>
      </w:r>
      <w:r w:rsidR="00B71607" w:rsidRPr="00B71607">
        <w:t xml:space="preserve"> </w:t>
      </w:r>
      <w:r w:rsidR="006E39D2">
        <w:t>occur</w:t>
      </w:r>
      <w:r w:rsidR="00B71607" w:rsidRPr="00B71607">
        <w:t xml:space="preserve"> </w:t>
      </w:r>
      <w:r w:rsidR="00C47C17">
        <w:t>when</w:t>
      </w:r>
      <w:r w:rsidR="00B71607" w:rsidRPr="00B71607">
        <w:t xml:space="preserve"> </w:t>
      </w:r>
      <w:r w:rsidR="008363D6">
        <w:rPr>
          <w:b/>
        </w:rPr>
        <w:t>Y</w:t>
      </w:r>
      <w:r w:rsidR="00B71607" w:rsidRPr="00B71607">
        <w:t xml:space="preserve"> </w:t>
      </w:r>
      <w:r w:rsidR="00FD7D0B">
        <w:t>&gt;</w:t>
      </w:r>
      <w:r w:rsidR="00B71607" w:rsidRPr="00B71607">
        <w:t xml:space="preserve"> </w:t>
      </w:r>
      <w:r w:rsidR="00FD7D0B">
        <w:rPr>
          <w:b/>
        </w:rPr>
        <w:t>Z</w:t>
      </w:r>
      <w:r w:rsidR="00B71607" w:rsidRPr="00B71607">
        <w:t xml:space="preserve"> </w:t>
      </w:r>
      <w:r w:rsidR="00C47C17">
        <w:t>encourage</w:t>
      </w:r>
      <w:r w:rsidR="00B71607" w:rsidRPr="00B71607">
        <w:t xml:space="preserve"> </w:t>
      </w:r>
      <w:r w:rsidR="00AB5F3C">
        <w:t>inflation</w:t>
      </w:r>
      <w:r w:rsidR="00B71607" w:rsidRPr="00B71607">
        <w:t xml:space="preserve"> </w:t>
      </w:r>
      <w:r w:rsidR="006E39D2">
        <w:t>when</w:t>
      </w:r>
      <w:r w:rsidR="00B71607" w:rsidRPr="00B71607">
        <w:t xml:space="preserve"> </w:t>
      </w:r>
      <w:r w:rsidR="00D67C75">
        <w:rPr>
          <w:b/>
        </w:rPr>
        <w:t>g</w:t>
      </w:r>
      <w:r w:rsidR="00B71607" w:rsidRPr="00B71607">
        <w:t xml:space="preserve"> </w:t>
      </w:r>
      <w:r w:rsidR="00D67C75">
        <w:t>&gt;</w:t>
      </w:r>
      <w:r w:rsidR="00B71607" w:rsidRPr="00B71607">
        <w:t xml:space="preserve"> </w:t>
      </w:r>
      <w:proofErr w:type="spellStart"/>
      <w:r w:rsidR="00D67C75">
        <w:rPr>
          <w:b/>
        </w:rPr>
        <w:t>g</w:t>
      </w:r>
      <w:r w:rsidR="00D67C75">
        <w:rPr>
          <w:b/>
          <w:smallCaps/>
          <w:vertAlign w:val="subscript"/>
        </w:rPr>
        <w:t>w</w:t>
      </w:r>
      <w:proofErr w:type="spellEnd"/>
      <w:r w:rsidR="006E39D2">
        <w:t>.</w:t>
      </w:r>
      <w:r w:rsidR="00B71607" w:rsidRPr="00B71607">
        <w:t xml:space="preserve"> </w:t>
      </w:r>
      <w:r w:rsidR="005C5AE6">
        <w:t xml:space="preserve">As before, this </w:t>
      </w:r>
      <w:r w:rsidR="006E39D2">
        <w:t>result</w:t>
      </w:r>
      <w:r w:rsidR="00B71607" w:rsidRPr="00B71607">
        <w:t xml:space="preserve"> </w:t>
      </w:r>
      <w:r w:rsidR="004B37DB">
        <w:t>is</w:t>
      </w:r>
      <w:r w:rsidR="00B71607" w:rsidRPr="00B71607">
        <w:t xml:space="preserve"> </w:t>
      </w:r>
      <w:r w:rsidR="004B37DB">
        <w:t>moderated</w:t>
      </w:r>
      <w:r w:rsidR="00B71607" w:rsidRPr="00B71607">
        <w:t xml:space="preserve"> </w:t>
      </w:r>
      <w:r w:rsidR="004B37DB">
        <w:t>if</w:t>
      </w:r>
      <w:r w:rsidR="00B71607" w:rsidRPr="00B71607">
        <w:t xml:space="preserve"> </w:t>
      </w:r>
      <w:r w:rsidR="004B37DB">
        <w:t>firms</w:t>
      </w:r>
      <w:r w:rsidR="00B71607" w:rsidRPr="00B71607">
        <w:t xml:space="preserve"> </w:t>
      </w:r>
      <w:r w:rsidR="004B37DB">
        <w:t>deliberately</w:t>
      </w:r>
      <w:r w:rsidR="00B71607" w:rsidRPr="00B71607">
        <w:t xml:space="preserve"> </w:t>
      </w:r>
      <w:r w:rsidR="004B37DB">
        <w:t>hold</w:t>
      </w:r>
      <w:r w:rsidR="00B71607" w:rsidRPr="00B71607">
        <w:t xml:space="preserve"> </w:t>
      </w:r>
      <w:r w:rsidR="004B37DB">
        <w:t>unused</w:t>
      </w:r>
      <w:r w:rsidR="00B71607" w:rsidRPr="00B71607">
        <w:t xml:space="preserve"> </w:t>
      </w:r>
      <w:r w:rsidR="00150B85">
        <w:t>capacity</w:t>
      </w:r>
      <w:r w:rsidR="00AB5F3C">
        <w:t>.</w:t>
      </w:r>
      <w:r w:rsidR="00B71607" w:rsidRPr="00B71607">
        <w:t xml:space="preserve"> </w:t>
      </w:r>
    </w:p>
    <w:p w:rsidR="00154CF5" w:rsidRPr="008D3A5A" w:rsidRDefault="00FD7D0B" w:rsidP="00666531">
      <w:pPr>
        <w:spacing w:line="240" w:lineRule="auto"/>
      </w:pPr>
      <w:r>
        <w:t>T</w:t>
      </w:r>
      <w:r w:rsidR="009519DD">
        <w:t>his</w:t>
      </w:r>
      <w:r w:rsidR="00B71607" w:rsidRPr="00B71607">
        <w:t xml:space="preserve"> </w:t>
      </w:r>
      <w:r w:rsidR="003B48B5">
        <w:t>story</w:t>
      </w:r>
      <w:r w:rsidR="00B71607" w:rsidRPr="00B71607">
        <w:t xml:space="preserve"> </w:t>
      </w:r>
      <w:r w:rsidR="008363D6">
        <w:t>fits</w:t>
      </w:r>
      <w:r w:rsidR="00B71607" w:rsidRPr="00B71607">
        <w:t xml:space="preserve"> </w:t>
      </w:r>
      <w:r w:rsidR="008363D6">
        <w:t>that</w:t>
      </w:r>
      <w:r w:rsidR="00B71607" w:rsidRPr="00B71607">
        <w:t xml:space="preserve"> </w:t>
      </w:r>
      <w:r w:rsidR="008363D6">
        <w:t>where</w:t>
      </w:r>
      <w:r w:rsidR="00B71607" w:rsidRPr="00B71607">
        <w:t xml:space="preserve"> </w:t>
      </w:r>
      <w:r w:rsidR="009519DD">
        <w:t>macropolicy</w:t>
      </w:r>
      <w:r w:rsidR="00B71607" w:rsidRPr="00B71607">
        <w:t xml:space="preserve"> </w:t>
      </w:r>
      <w:r w:rsidR="008363D6">
        <w:t>is</w:t>
      </w:r>
      <w:r w:rsidR="00B71607" w:rsidRPr="00B71607">
        <w:t xml:space="preserve"> </w:t>
      </w:r>
      <w:r w:rsidR="008363D6">
        <w:t>used</w:t>
      </w:r>
      <w:r w:rsidR="00B71607" w:rsidRPr="00B71607">
        <w:t xml:space="preserve"> </w:t>
      </w:r>
      <w:r w:rsidR="009519DD">
        <w:t>to</w:t>
      </w:r>
      <w:r w:rsidR="00B71607" w:rsidRPr="00B71607">
        <w:t xml:space="preserve"> </w:t>
      </w:r>
      <w:r w:rsidR="009519DD">
        <w:t>attain</w:t>
      </w:r>
      <w:r w:rsidR="00B71607" w:rsidRPr="00B71607">
        <w:t xml:space="preserve"> </w:t>
      </w:r>
      <w:r w:rsidR="0066118A">
        <w:t>line</w:t>
      </w:r>
      <w:r w:rsidR="00B71607" w:rsidRPr="00B71607">
        <w:t xml:space="preserve"> </w:t>
      </w:r>
      <w:r w:rsidR="009519DD">
        <w:rPr>
          <w:b/>
        </w:rPr>
        <w:t>F</w:t>
      </w:r>
      <w:r w:rsidR="008363D6">
        <w:t>.</w:t>
      </w:r>
      <w:r w:rsidR="00B71607" w:rsidRPr="00B71607">
        <w:t xml:space="preserve"> </w:t>
      </w:r>
      <w:r w:rsidR="005C5AE6">
        <w:t xml:space="preserve">That policy </w:t>
      </w:r>
      <w:r w:rsidR="00C47C17">
        <w:t>is</w:t>
      </w:r>
      <w:r w:rsidR="00B71607" w:rsidRPr="00B71607">
        <w:t xml:space="preserve"> </w:t>
      </w:r>
      <w:r w:rsidR="00686BCE">
        <w:t>not</w:t>
      </w:r>
      <w:r w:rsidR="00B71607" w:rsidRPr="00B71607">
        <w:t xml:space="preserve"> </w:t>
      </w:r>
      <w:r w:rsidR="00686BCE">
        <w:t>really</w:t>
      </w:r>
      <w:r w:rsidR="00B71607" w:rsidRPr="00B71607">
        <w:t xml:space="preserve"> </w:t>
      </w:r>
      <w:r w:rsidR="00686BCE">
        <w:t>needed</w:t>
      </w:r>
      <w:r w:rsidR="00B71607" w:rsidRPr="00B71607">
        <w:t xml:space="preserve"> </w:t>
      </w:r>
      <w:r w:rsidR="00686BCE">
        <w:t>to</w:t>
      </w:r>
      <w:r w:rsidR="00B71607" w:rsidRPr="00B71607">
        <w:t xml:space="preserve"> </w:t>
      </w:r>
      <w:r w:rsidR="00150B85">
        <w:t>handle</w:t>
      </w:r>
      <w:r w:rsidR="00B71607" w:rsidRPr="00B71607">
        <w:t xml:space="preserve"> </w:t>
      </w:r>
      <w:r w:rsidR="00686BCE">
        <w:t>the</w:t>
      </w:r>
      <w:r w:rsidR="00B71607" w:rsidRPr="00B71607">
        <w:t xml:space="preserve"> </w:t>
      </w:r>
      <w:r w:rsidR="00686BCE">
        <w:t>case</w:t>
      </w:r>
      <w:r w:rsidR="00B71607" w:rsidRPr="00B71607">
        <w:t xml:space="preserve"> </w:t>
      </w:r>
      <w:r w:rsidR="006E39D2">
        <w:t>of</w:t>
      </w:r>
      <w:r w:rsidR="00B71607" w:rsidRPr="00B71607">
        <w:t xml:space="preserve"> </w:t>
      </w:r>
      <w:r w:rsidR="008363D6">
        <w:rPr>
          <w:b/>
        </w:rPr>
        <w:t>Y</w:t>
      </w:r>
      <w:r w:rsidR="00D67C75">
        <w:rPr>
          <w:b/>
        </w:rPr>
        <w:sym w:font="Symbol" w:char="F020"/>
      </w:r>
      <w:r w:rsidR="00D67C75">
        <w:t>&gt;</w:t>
      </w:r>
      <w:r w:rsidR="00D67C75">
        <w:sym w:font="Symbol" w:char="F020"/>
      </w:r>
      <w:r w:rsidR="00686BCE">
        <w:rPr>
          <w:b/>
        </w:rPr>
        <w:t>F</w:t>
      </w:r>
      <w:r w:rsidR="00B71607" w:rsidRPr="00B71607">
        <w:t xml:space="preserve"> </w:t>
      </w:r>
      <w:r w:rsidR="006E39D2">
        <w:t>except</w:t>
      </w:r>
      <w:r w:rsidR="00B71607" w:rsidRPr="00B71607">
        <w:t xml:space="preserve"> </w:t>
      </w:r>
      <w:r w:rsidR="006E39D2">
        <w:t>to</w:t>
      </w:r>
      <w:r w:rsidR="00B71607" w:rsidRPr="00B71607">
        <w:t xml:space="preserve"> </w:t>
      </w:r>
      <w:r w:rsidR="006E39D2">
        <w:t>speed</w:t>
      </w:r>
      <w:r w:rsidR="00B71607" w:rsidRPr="00B71607">
        <w:t xml:space="preserve"> </w:t>
      </w:r>
      <w:r w:rsidR="006E39D2">
        <w:t>the</w:t>
      </w:r>
      <w:r w:rsidR="00B71607" w:rsidRPr="00B71607">
        <w:t xml:space="preserve"> </w:t>
      </w:r>
      <w:r w:rsidR="005C5AE6">
        <w:t xml:space="preserve">economy’s </w:t>
      </w:r>
      <w:r w:rsidR="006E39D2">
        <w:t>fall</w:t>
      </w:r>
      <w:r w:rsidR="00B71607" w:rsidRPr="00B71607">
        <w:t xml:space="preserve"> </w:t>
      </w:r>
      <w:r w:rsidR="006E39D2">
        <w:t>down</w:t>
      </w:r>
      <w:r w:rsidR="00B71607" w:rsidRPr="00B71607">
        <w:t xml:space="preserve"> </w:t>
      </w:r>
      <w:r w:rsidR="006E39D2">
        <w:t>to</w:t>
      </w:r>
      <w:r w:rsidR="00B71607" w:rsidRPr="00B71607">
        <w:t xml:space="preserve"> </w:t>
      </w:r>
      <w:r w:rsidR="006E39D2">
        <w:rPr>
          <w:b/>
        </w:rPr>
        <w:t>F</w:t>
      </w:r>
      <w:r w:rsidR="009519DD">
        <w:t>.</w:t>
      </w:r>
      <w:r w:rsidR="00B71607" w:rsidRPr="00B71607">
        <w:t xml:space="preserve"> </w:t>
      </w:r>
    </w:p>
    <w:p w:rsidR="00EA3B9B" w:rsidRDefault="00FD7D0B" w:rsidP="00666531">
      <w:pPr>
        <w:spacing w:line="240" w:lineRule="auto"/>
      </w:pPr>
      <w:r>
        <w:t>As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 w:rsidR="00EA3B9B">
        <w:t>others</w:t>
      </w:r>
      <w:r w:rsidR="00B71607" w:rsidRPr="00B71607">
        <w:t xml:space="preserve"> </w:t>
      </w:r>
      <w:r w:rsidR="00EA3B9B">
        <w:t>of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school</w:t>
      </w:r>
      <w:r w:rsidR="00B71607" w:rsidRPr="00B71607">
        <w:t xml:space="preserve"> </w:t>
      </w:r>
      <w:r>
        <w:t>sketched</w:t>
      </w:r>
      <w:r w:rsidR="00B71607" w:rsidRPr="00B71607">
        <w:t xml:space="preserve"> </w:t>
      </w:r>
      <w:r>
        <w:t>in</w:t>
      </w:r>
      <w:r w:rsidR="00B71607" w:rsidRPr="00B71607">
        <w:t xml:space="preserve"> </w:t>
      </w:r>
      <w:r>
        <w:t>part</w:t>
      </w:r>
      <w:r w:rsidR="00524EEB">
        <w:t xml:space="preserve"> </w:t>
      </w:r>
      <w:r w:rsidR="00524EEB">
        <w:fldChar w:fldCharType="begin"/>
      </w:r>
      <w:r w:rsidR="00524EEB">
        <w:instrText xml:space="preserve"> REF _Ref414381876 \w \h </w:instrText>
      </w:r>
      <w:r w:rsidR="00524EEB">
        <w:fldChar w:fldCharType="separate"/>
      </w:r>
      <w:r w:rsidR="00292438">
        <w:t>I.A</w:t>
      </w:r>
      <w:r w:rsidR="00524EEB">
        <w:fldChar w:fldCharType="end"/>
      </w:r>
      <w:r>
        <w:t>,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 w:rsidR="00B71607" w:rsidRPr="00B71607">
        <w:t xml:space="preserve"> </w:t>
      </w:r>
      <w:r w:rsidR="00D877C6">
        <w:t>saw</w:t>
      </w:r>
      <w:r w:rsidR="00B71607" w:rsidRPr="00B71607">
        <w:t xml:space="preserve"> </w:t>
      </w:r>
      <w:r w:rsidR="00D877C6">
        <w:t>no</w:t>
      </w:r>
      <w:r w:rsidR="00B71607" w:rsidRPr="00B71607">
        <w:t xml:space="preserve"> </w:t>
      </w:r>
      <w:r w:rsidR="00023FF7">
        <w:t>forces</w:t>
      </w:r>
      <w:r w:rsidR="00B71607" w:rsidRPr="00B71607">
        <w:t xml:space="preserve"> </w:t>
      </w:r>
      <w:r w:rsidR="00023FF7">
        <w:t>that</w:t>
      </w:r>
      <w:r w:rsidR="00B71607" w:rsidRPr="00B71607">
        <w:t xml:space="preserve"> </w:t>
      </w:r>
      <w:r>
        <w:t>w</w:t>
      </w:r>
      <w:r w:rsidR="00023FF7">
        <w:t>ould</w:t>
      </w:r>
      <w:r w:rsidR="00B71607" w:rsidRPr="00B71607">
        <w:t xml:space="preserve"> </w:t>
      </w:r>
      <w:r w:rsidR="00023FF7" w:rsidRPr="00361A51">
        <w:rPr>
          <w:i/>
        </w:rPr>
        <w:t>automatically</w:t>
      </w:r>
      <w:r w:rsidR="00B71607" w:rsidRPr="00B71607">
        <w:t xml:space="preserve"> </w:t>
      </w:r>
      <w:r w:rsidR="00023FF7">
        <w:t>push</w:t>
      </w:r>
      <w:r w:rsidR="00B71607" w:rsidRPr="00B71607">
        <w:t xml:space="preserve"> </w:t>
      </w:r>
      <w:r w:rsidR="00023FF7">
        <w:t>or</w:t>
      </w:r>
      <w:r w:rsidR="00B71607" w:rsidRPr="00B71607">
        <w:t xml:space="preserve"> </w:t>
      </w:r>
      <w:r w:rsidR="00023FF7">
        <w:t>pull</w:t>
      </w:r>
      <w:r w:rsidR="00B71607" w:rsidRPr="00B71607">
        <w:t xml:space="preserve"> </w:t>
      </w:r>
      <w:r w:rsidR="00023FF7">
        <w:t>a</w:t>
      </w:r>
      <w:r w:rsidR="00B71607" w:rsidRPr="00B71607">
        <w:t xml:space="preserve"> </w:t>
      </w:r>
      <w:r w:rsidR="00023FF7">
        <w:t>low</w:t>
      </w:r>
      <w:r w:rsidR="00B71607" w:rsidRPr="00B71607">
        <w:t xml:space="preserve"> </w:t>
      </w:r>
      <w:r w:rsidR="00023FF7">
        <w:t>value</w:t>
      </w:r>
      <w:r w:rsidR="00B71607" w:rsidRPr="00B71607">
        <w:t xml:space="preserve"> </w:t>
      </w:r>
      <w:r w:rsidR="00023FF7">
        <w:t>of</w:t>
      </w:r>
      <w:r w:rsidR="00B71607" w:rsidRPr="00B71607">
        <w:t xml:space="preserve"> </w:t>
      </w:r>
      <w:r w:rsidR="008363D6">
        <w:rPr>
          <w:b/>
        </w:rPr>
        <w:t>Y</w:t>
      </w:r>
      <w:r w:rsidR="00B71607" w:rsidRPr="00B71607">
        <w:t xml:space="preserve"> </w:t>
      </w:r>
      <w:r w:rsidR="00023FF7">
        <w:t>up</w:t>
      </w:r>
      <w:r w:rsidR="008363D6">
        <w:t>ward</w:t>
      </w:r>
      <w:r w:rsidR="00B71607" w:rsidRPr="00B71607">
        <w:t xml:space="preserve"> </w:t>
      </w:r>
      <w:r w:rsidR="00023FF7">
        <w:t>to</w:t>
      </w:r>
      <w:r w:rsidR="00B71607" w:rsidRPr="00B71607">
        <w:t xml:space="preserve"> </w:t>
      </w:r>
      <w:r w:rsidR="00023FF7">
        <w:t>equal</w:t>
      </w:r>
      <w:r w:rsidR="00B71607" w:rsidRPr="00B71607">
        <w:t xml:space="preserve"> </w:t>
      </w:r>
      <w:r w:rsidR="00023FF7">
        <w:rPr>
          <w:b/>
        </w:rPr>
        <w:t>F</w:t>
      </w:r>
      <w:r w:rsidR="00023FF7">
        <w:t>.</w:t>
      </w:r>
      <w:r w:rsidR="00B71607" w:rsidRPr="00B71607">
        <w:t xml:space="preserve"> </w:t>
      </w:r>
      <w:r w:rsidR="00AB5F3C">
        <w:t>In</w:t>
      </w:r>
      <w:r w:rsidR="00B71607" w:rsidRPr="00B71607">
        <w:t xml:space="preserve"> </w:t>
      </w:r>
      <w:r w:rsidR="00AB5F3C">
        <w:t>fact,</w:t>
      </w:r>
      <w:r w:rsidR="00B71607" w:rsidRPr="00B71607">
        <w:t xml:space="preserve"> </w:t>
      </w:r>
      <w:r w:rsidR="00EA3B9B">
        <w:t>again</w:t>
      </w:r>
      <w:r w:rsidR="00B71607" w:rsidRPr="00B71607">
        <w:t xml:space="preserve"> </w:t>
      </w:r>
      <w:r w:rsidR="00AB5F3C">
        <w:t>starting</w:t>
      </w:r>
      <w:r w:rsidR="00B71607" w:rsidRPr="00B71607">
        <w:t xml:space="preserve"> </w:t>
      </w:r>
      <w:r w:rsidR="00CE1A65">
        <w:t>with</w:t>
      </w:r>
      <w:r w:rsidR="00B71607" w:rsidRPr="00B71607">
        <w:t xml:space="preserve"> </w:t>
      </w:r>
      <w:r w:rsidR="0050743F">
        <w:rPr>
          <w:b/>
        </w:rPr>
        <w:t>g</w:t>
      </w:r>
      <w:r w:rsidR="00B71607" w:rsidRPr="00B71607">
        <w:t xml:space="preserve"> </w:t>
      </w:r>
      <w:r w:rsidR="00CE1A65">
        <w:t>=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CE1A65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CE1A65">
        <w:t>=</w:t>
      </w:r>
      <w:r w:rsidR="00B71607" w:rsidRPr="00B71607">
        <w:t xml:space="preserve"> </w:t>
      </w:r>
      <w:proofErr w:type="spellStart"/>
      <w:r w:rsidR="0050743F">
        <w:rPr>
          <w:b/>
        </w:rPr>
        <w:t>g</w:t>
      </w:r>
      <w:r w:rsidR="00CE1A65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66118A">
        <w:t>(as</w:t>
      </w:r>
      <w:r w:rsidR="00B71607" w:rsidRPr="00B71607">
        <w:t xml:space="preserve"> </w:t>
      </w:r>
      <w:r w:rsidR="0066118A">
        <w:t>at</w:t>
      </w:r>
      <w:r w:rsidR="00B71607" w:rsidRPr="00B71607">
        <w:t xml:space="preserve"> </w:t>
      </w:r>
      <w:r w:rsidR="0066118A">
        <w:t>point</w:t>
      </w:r>
      <w:r w:rsidR="00B71607" w:rsidRPr="00B71607">
        <w:t xml:space="preserve"> </w:t>
      </w:r>
      <w:r w:rsidR="0066118A" w:rsidRPr="0066118A">
        <w:rPr>
          <w:b/>
        </w:rPr>
        <w:t>3</w:t>
      </w:r>
      <w:r w:rsidR="0066118A">
        <w:t>)</w:t>
      </w:r>
      <w:r w:rsidR="00B71607" w:rsidRPr="00B71607">
        <w:t xml:space="preserve"> </w:t>
      </w:r>
      <w:r w:rsidR="00EA3B9B">
        <w:t>and</w:t>
      </w:r>
      <w:r w:rsidR="00B71607" w:rsidRPr="00B71607">
        <w:t xml:space="preserve"> </w:t>
      </w:r>
      <w:r w:rsidR="0065044F">
        <w:t>provisionally</w:t>
      </w:r>
      <w:r w:rsidR="00B71607" w:rsidRPr="00B71607">
        <w:t xml:space="preserve"> </w:t>
      </w:r>
      <w:r w:rsidR="00EA3B9B">
        <w:t>reinstating</w:t>
      </w:r>
      <w:r w:rsidR="00B71607" w:rsidRPr="00B71607">
        <w:t xml:space="preserve"> </w:t>
      </w:r>
      <w:r w:rsidR="00EA3B9B">
        <w:t>assumptions</w:t>
      </w:r>
      <w:r w:rsidR="00B71607" w:rsidRPr="00B71607">
        <w:t xml:space="preserve"> </w:t>
      </w:r>
      <w:r w:rsidR="005C5AE6">
        <w:t>(i</w:t>
      </w:r>
      <w:r w:rsidR="00EA3B9B">
        <w:t>)</w:t>
      </w:r>
      <w:r w:rsidR="00B71607" w:rsidRPr="00B71607">
        <w:t xml:space="preserve"> </w:t>
      </w:r>
      <w:r w:rsidR="00EA3B9B">
        <w:t>and</w:t>
      </w:r>
      <w:r w:rsidR="00B71607" w:rsidRPr="00B71607">
        <w:t xml:space="preserve"> </w:t>
      </w:r>
      <w:r w:rsidR="00EA3B9B">
        <w:t>(</w:t>
      </w:r>
      <w:r w:rsidR="005C5AE6">
        <w:t>ii</w:t>
      </w:r>
      <w:r w:rsidR="00EA3B9B">
        <w:t>)</w:t>
      </w:r>
      <w:r w:rsidR="00AB5F3C">
        <w:t>,</w:t>
      </w:r>
      <w:r w:rsidR="00B71607" w:rsidRPr="00B71607">
        <w:t xml:space="preserve"> </w:t>
      </w:r>
      <w:r w:rsidR="00361A51">
        <w:t>any</w:t>
      </w:r>
      <w:r w:rsidR="00B71607" w:rsidRPr="00B71607">
        <w:t xml:space="preserve"> </w:t>
      </w:r>
      <w:r w:rsidR="00361A51">
        <w:t>shock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 w:rsidRPr="008363D6">
        <w:rPr>
          <w:i/>
        </w:rPr>
        <w:t>raises</w:t>
      </w:r>
      <w:r w:rsidR="00B71607" w:rsidRPr="00B71607">
        <w:t xml:space="preserve">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361A51">
        <w:t>can</w:t>
      </w:r>
      <w:r w:rsidR="00B71607" w:rsidRPr="00B71607">
        <w:t xml:space="preserve"> </w:t>
      </w:r>
      <w:r w:rsidR="00361A51">
        <w:t>push</w:t>
      </w:r>
      <w:r w:rsidR="00B71607" w:rsidRPr="00B71607">
        <w:t xml:space="preserve"> </w:t>
      </w:r>
      <w:r w:rsidR="00AB5F3C">
        <w:t>the</w:t>
      </w:r>
      <w:r w:rsidR="00B71607" w:rsidRPr="00B71607">
        <w:t xml:space="preserve"> </w:t>
      </w:r>
      <w:r w:rsidR="00AB5F3C">
        <w:t>economy</w:t>
      </w:r>
      <w:r w:rsidR="00B71607" w:rsidRPr="00B71607">
        <w:t xml:space="preserve"> </w:t>
      </w:r>
      <w:r w:rsidR="00AB5F3C">
        <w:t>into</w:t>
      </w:r>
      <w:r w:rsidR="00B71607" w:rsidRPr="00B71607">
        <w:t xml:space="preserve"> </w:t>
      </w:r>
      <w:r w:rsidR="00AB5F3C">
        <w:t>a</w:t>
      </w:r>
      <w:r w:rsidR="00B71607" w:rsidRPr="00B71607">
        <w:t xml:space="preserve"> </w:t>
      </w:r>
      <w:r w:rsidR="00AB5F3C">
        <w:t>serious</w:t>
      </w:r>
      <w:r w:rsidR="00B71607" w:rsidRPr="00B71607">
        <w:t xml:space="preserve"> </w:t>
      </w:r>
      <w:r w:rsidR="00AB5F3C">
        <w:t>tailspin</w:t>
      </w:r>
      <w:r w:rsidR="00B71607" w:rsidRPr="00B71607">
        <w:t xml:space="preserve"> </w:t>
      </w:r>
      <w:r w:rsidR="0066118A">
        <w:t>toward</w:t>
      </w:r>
      <w:r w:rsidR="00B71607" w:rsidRPr="00B71607">
        <w:t xml:space="preserve"> </w:t>
      </w:r>
      <w:r w:rsidR="0066118A">
        <w:t>point</w:t>
      </w:r>
      <w:r w:rsidR="00B71607" w:rsidRPr="00B71607">
        <w:t xml:space="preserve"> </w:t>
      </w:r>
      <w:r w:rsidR="0066118A" w:rsidRPr="0066118A">
        <w:rPr>
          <w:b/>
        </w:rPr>
        <w:t>5</w:t>
      </w:r>
      <w:r w:rsidR="00B650E4">
        <w:t>,</w:t>
      </w:r>
      <w:r w:rsidR="00B71607" w:rsidRPr="00B71607">
        <w:t xml:space="preserve"> </w:t>
      </w:r>
      <w:r>
        <w:t>even</w:t>
      </w:r>
      <w:r w:rsidR="00B71607" w:rsidRPr="00B71607">
        <w:t xml:space="preserve"> </w:t>
      </w:r>
      <w:r>
        <w:t>if</w:t>
      </w:r>
      <w:r w:rsidR="00B71607" w:rsidRPr="00B71607">
        <w:t xml:space="preserve"> </w:t>
      </w:r>
      <w:r w:rsidR="005C5AE6">
        <w:t xml:space="preserve">at the </w:t>
      </w:r>
      <w:r w:rsidR="0066118A">
        <w:t>start</w:t>
      </w:r>
      <w:r w:rsidR="00B71607" w:rsidRPr="00B71607">
        <w:t xml:space="preserve"> </w:t>
      </w:r>
      <w:r w:rsidR="0066118A">
        <w:t>we</w:t>
      </w:r>
      <w:r w:rsidR="00B71607" w:rsidRPr="00B71607">
        <w:t xml:space="preserve"> </w:t>
      </w:r>
      <w:r w:rsidR="0066118A">
        <w:t>see</w:t>
      </w:r>
      <w:r w:rsidR="00B71607" w:rsidRPr="00B71607">
        <w:t xml:space="preserve"> </w:t>
      </w:r>
      <w:r w:rsidR="008363D6">
        <w:rPr>
          <w:b/>
        </w:rPr>
        <w:t>Y</w:t>
      </w:r>
      <w:r w:rsidR="00B71607" w:rsidRPr="00B71607">
        <w:t xml:space="preserve"> </w:t>
      </w:r>
      <w:r w:rsidR="00B650E4">
        <w:t>=</w:t>
      </w:r>
      <w:r w:rsidR="00B71607" w:rsidRPr="00B71607">
        <w:t xml:space="preserve"> </w:t>
      </w:r>
      <w:r w:rsidR="00B650E4">
        <w:rPr>
          <w:b/>
        </w:rPr>
        <w:t>F</w:t>
      </w:r>
      <w:r w:rsidR="00023FF7">
        <w:t>.</w:t>
      </w:r>
      <w:r w:rsidR="00B71607" w:rsidRPr="00B71607">
        <w:t xml:space="preserve"> </w:t>
      </w:r>
      <w:r w:rsidR="0066118A">
        <w:t>The</w:t>
      </w:r>
      <w:r w:rsidR="00B71607" w:rsidRPr="00B71607">
        <w:t xml:space="preserve"> </w:t>
      </w:r>
      <w:r w:rsidR="0066118A">
        <w:t>recovery</w:t>
      </w:r>
      <w:r w:rsidR="00B71607" w:rsidRPr="00B71607">
        <w:t xml:space="preserve"> </w:t>
      </w:r>
      <w:r w:rsidR="0066118A">
        <w:t>from</w:t>
      </w:r>
      <w:r w:rsidR="00B71607" w:rsidRPr="00B71607">
        <w:t xml:space="preserve"> </w:t>
      </w:r>
      <w:r w:rsidR="0066118A">
        <w:t>the</w:t>
      </w:r>
      <w:r w:rsidR="00B71607" w:rsidRPr="00B71607">
        <w:t xml:space="preserve"> </w:t>
      </w:r>
      <w:r w:rsidR="0066118A">
        <w:t>inflationary</w:t>
      </w:r>
      <w:r w:rsidR="00B71607" w:rsidRPr="00B71607">
        <w:t xml:space="preserve"> </w:t>
      </w:r>
      <w:r w:rsidR="0066118A">
        <w:t>gap</w:t>
      </w:r>
      <w:r w:rsidR="00B71607" w:rsidRPr="00B71607">
        <w:t xml:space="preserve"> </w:t>
      </w:r>
      <w:r w:rsidR="0066118A">
        <w:t>that</w:t>
      </w:r>
      <w:r w:rsidR="00B71607" w:rsidRPr="00B71607">
        <w:t xml:space="preserve"> </w:t>
      </w:r>
      <w:r w:rsidR="0066118A">
        <w:t>Harrod</w:t>
      </w:r>
      <w:r w:rsidR="00B71607" w:rsidRPr="00B71607">
        <w:t xml:space="preserve"> </w:t>
      </w:r>
      <w:r w:rsidR="0066118A">
        <w:t>sketched</w:t>
      </w:r>
      <w:r w:rsidR="00B71607" w:rsidRPr="00B71607">
        <w:t xml:space="preserve"> </w:t>
      </w:r>
      <w:r w:rsidR="0066118A">
        <w:t>might</w:t>
      </w:r>
      <w:r w:rsidR="00B71607" w:rsidRPr="00B71607">
        <w:t xml:space="preserve"> </w:t>
      </w:r>
      <w:r w:rsidR="0066118A">
        <w:t>cause</w:t>
      </w:r>
      <w:r w:rsidR="00B71607" w:rsidRPr="00B71607">
        <w:t xml:space="preserve"> </w:t>
      </w:r>
      <w:r w:rsidR="0066118A">
        <w:t>this</w:t>
      </w:r>
      <w:r w:rsidR="00B71607" w:rsidRPr="00B71607">
        <w:t xml:space="preserve"> </w:t>
      </w:r>
      <w:r w:rsidR="0066118A">
        <w:t>kind</w:t>
      </w:r>
      <w:r w:rsidR="00B71607" w:rsidRPr="00B71607">
        <w:t xml:space="preserve"> </w:t>
      </w:r>
      <w:r w:rsidR="0066118A">
        <w:t>of</w:t>
      </w:r>
      <w:r w:rsidR="00B71607" w:rsidRPr="00B71607">
        <w:t xml:space="preserve"> </w:t>
      </w:r>
      <w:r w:rsidR="0066118A">
        <w:t>recessionary</w:t>
      </w:r>
      <w:r w:rsidR="00B71607" w:rsidRPr="00B71607">
        <w:t xml:space="preserve"> </w:t>
      </w:r>
      <w:r w:rsidR="0066118A">
        <w:t>disaster.</w:t>
      </w:r>
      <w:r w:rsidR="00B71607" w:rsidRPr="00B71607">
        <w:t xml:space="preserve"> </w:t>
      </w:r>
    </w:p>
    <w:p w:rsidR="00382FB7" w:rsidRDefault="00DC4A78" w:rsidP="00666531">
      <w:pPr>
        <w:spacing w:line="240" w:lineRule="auto"/>
        <w:rPr>
          <w:rFonts w:eastAsiaTheme="minorEastAsia"/>
        </w:rPr>
      </w:pPr>
      <w:r>
        <w:t>In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case,</w:t>
      </w:r>
      <w:r w:rsidR="00B71607" w:rsidRPr="00B71607">
        <w:t xml:space="preserve"> </w:t>
      </w:r>
      <w:r w:rsidR="00CE1A65">
        <w:t>warranted</w:t>
      </w:r>
      <w:r w:rsidR="00B71607" w:rsidRPr="00B71607">
        <w:t xml:space="preserve"> </w:t>
      </w:r>
      <w:r w:rsidR="00CE1A65">
        <w:t>growth</w:t>
      </w:r>
      <w:r w:rsidR="00B71607" w:rsidRPr="00B71607">
        <w:t xml:space="preserve"> </w:t>
      </w:r>
      <w:r w:rsidR="00CE1A65">
        <w:t>rate</w:t>
      </w:r>
      <w:r w:rsidR="00B71607" w:rsidRPr="00B71607">
        <w:t xml:space="preserve"> </w:t>
      </w:r>
      <w:r w:rsidR="00CE1A65">
        <w:t>rise</w:t>
      </w:r>
      <w:r w:rsidR="00023FF7">
        <w:t>s</w:t>
      </w:r>
      <w:r w:rsidR="00B71607" w:rsidRPr="00B71607">
        <w:t xml:space="preserve"> </w:t>
      </w:r>
      <w:r w:rsidR="00CE1A65">
        <w:t>above</w:t>
      </w:r>
      <w:r w:rsidR="00B71607" w:rsidRPr="00B71607">
        <w:t xml:space="preserve"> </w:t>
      </w:r>
      <w:r w:rsidR="0050743F">
        <w:rPr>
          <w:b/>
        </w:rPr>
        <w:t>g</w:t>
      </w:r>
      <w:r w:rsidR="00CE1A65">
        <w:t>,</w:t>
      </w:r>
      <w:r w:rsidR="00B71607" w:rsidRPr="00B71607">
        <w:t xml:space="preserve"> </w:t>
      </w:r>
      <w:r w:rsidR="00CE1A65">
        <w:t>due</w:t>
      </w:r>
      <w:r w:rsidR="00B71607" w:rsidRPr="00B71607">
        <w:t xml:space="preserve"> </w:t>
      </w:r>
      <w:r w:rsidR="00CE1A65">
        <w:t>to</w:t>
      </w:r>
      <w:r w:rsidR="00B71607" w:rsidRPr="00B71607">
        <w:t xml:space="preserve"> </w:t>
      </w:r>
      <w:r w:rsidR="00CE1A65">
        <w:t>rising</w:t>
      </w:r>
      <w:r w:rsidR="00B71607" w:rsidRPr="00B71607">
        <w:t xml:space="preserve"> </w:t>
      </w:r>
      <w:r w:rsidR="00CE1A65" w:rsidRPr="00D10246">
        <w:rPr>
          <w:b/>
          <w:i/>
        </w:rPr>
        <w:t>s</w:t>
      </w:r>
      <w:r w:rsidR="00B71607" w:rsidRPr="00B71607">
        <w:t xml:space="preserve"> </w:t>
      </w:r>
      <w:r w:rsidR="00EA3B9B">
        <w:t>relative</w:t>
      </w:r>
      <w:r w:rsidR="00B71607" w:rsidRPr="00B71607">
        <w:t xml:space="preserve"> </w:t>
      </w:r>
      <w:r w:rsidR="00EA3B9B">
        <w:t>to</w:t>
      </w:r>
      <w:r w:rsidR="00B71607" w:rsidRPr="00B71607">
        <w:t xml:space="preserve"> </w:t>
      </w:r>
      <w:r w:rsidR="00E515C2" w:rsidRPr="0009717A">
        <w:rPr>
          <w:rFonts w:eastAsiaTheme="minorEastAsia"/>
          <w:b/>
          <w:bCs/>
          <w:i/>
        </w:rPr>
        <w:t>α</w:t>
      </w:r>
      <w:r w:rsidR="00CE1A65">
        <w:rPr>
          <w:bCs/>
        </w:rPr>
        <w:t>.</w:t>
      </w:r>
      <w:r w:rsidR="00B71607" w:rsidRPr="00B71607">
        <w:rPr>
          <w:bCs/>
        </w:rPr>
        <w:t xml:space="preserve"> </w:t>
      </w:r>
      <w:r w:rsidR="00574D64">
        <w:rPr>
          <w:bCs/>
        </w:rPr>
        <w:t>T</w:t>
      </w:r>
      <w:r w:rsidR="00AB5F3C">
        <w:t>his</w:t>
      </w:r>
      <w:r w:rsidR="00B71607" w:rsidRPr="00B71607">
        <w:t xml:space="preserve"> </w:t>
      </w:r>
      <w:r w:rsidR="00476EA3">
        <w:t>change</w:t>
      </w:r>
      <w:r w:rsidR="00B71607" w:rsidRPr="00B71607">
        <w:t xml:space="preserve"> </w:t>
      </w:r>
      <w:r w:rsidR="00CE1A65">
        <w:t>causes</w:t>
      </w:r>
      <w:r w:rsidR="00B71607" w:rsidRPr="00B71607">
        <w:t xml:space="preserve"> </w:t>
      </w:r>
      <w:r w:rsidR="0050743F">
        <w:rPr>
          <w:b/>
        </w:rPr>
        <w:t>g</w:t>
      </w:r>
      <w:r w:rsidR="00425467">
        <w:sym w:font="Symbol" w:char="F020"/>
      </w:r>
      <w:r w:rsidR="00AB5F3C">
        <w:t>&lt;</w:t>
      </w:r>
      <w:r w:rsidR="00425467">
        <w:sym w:font="Symbol" w:char="F020"/>
      </w:r>
      <w:proofErr w:type="spellStart"/>
      <w:r w:rsidR="0050743F">
        <w:rPr>
          <w:b/>
        </w:rPr>
        <w:t>g</w:t>
      </w:r>
      <w:r w:rsidR="00AB5F3C">
        <w:rPr>
          <w:b/>
          <w:smallCaps/>
          <w:vertAlign w:val="subscript"/>
        </w:rPr>
        <w:t>w</w:t>
      </w:r>
      <w:proofErr w:type="spellEnd"/>
      <w:r w:rsidR="00845340">
        <w:t>.</w:t>
      </w:r>
      <w:r w:rsidR="00B71607" w:rsidRPr="00B71607">
        <w:t xml:space="preserve"> </w:t>
      </w:r>
      <w:r w:rsidR="005C5AE6">
        <w:t>As discussed above, f</w:t>
      </w:r>
      <w:r w:rsidR="00150B85">
        <w:t>alling</w:t>
      </w:r>
      <w:r w:rsidR="00B71607" w:rsidRPr="00B71607">
        <w:t xml:space="preserve"> </w:t>
      </w:r>
      <w:r w:rsidR="00845340">
        <w:t>off</w:t>
      </w:r>
      <w:r w:rsidR="00B71607" w:rsidRPr="00B71607">
        <w:t xml:space="preserve"> </w:t>
      </w:r>
      <w:r w:rsidR="00845340">
        <w:t>the</w:t>
      </w:r>
      <w:r w:rsidR="00B71607" w:rsidRPr="00B71607">
        <w:t xml:space="preserve"> </w:t>
      </w:r>
      <w:r w:rsidR="00845340">
        <w:t>knife</w:t>
      </w:r>
      <w:r w:rsidR="00B71607" w:rsidRPr="00B71607">
        <w:t xml:space="preserve"> </w:t>
      </w:r>
      <w:r w:rsidR="00845340">
        <w:t>edge</w:t>
      </w:r>
      <w:r w:rsidR="00B71607" w:rsidRPr="00B71607">
        <w:t xml:space="preserve"> </w:t>
      </w:r>
      <w:r w:rsidR="00476EA3">
        <w:t>then</w:t>
      </w:r>
      <w:r w:rsidR="00B71607" w:rsidRPr="00B71607">
        <w:t xml:space="preserve"> </w:t>
      </w:r>
      <w:r w:rsidR="00845340">
        <w:t>causes</w:t>
      </w:r>
      <w:r w:rsidR="00B71607" w:rsidRPr="00B71607">
        <w:t xml:space="preserve"> </w:t>
      </w:r>
      <w:r w:rsidR="00CE1A65">
        <w:t>a</w:t>
      </w:r>
      <w:r w:rsidR="00B71607" w:rsidRPr="00B71607">
        <w:t xml:space="preserve"> </w:t>
      </w:r>
      <w:r w:rsidR="00CE1A65">
        <w:t>downward</w:t>
      </w:r>
      <w:r w:rsidR="00B71607" w:rsidRPr="00B71607">
        <w:t xml:space="preserve"> </w:t>
      </w:r>
      <w:r w:rsidR="00CE1A65">
        <w:t>spiral</w:t>
      </w:r>
      <w:r w:rsidR="00B71607" w:rsidRPr="00B71607">
        <w:t xml:space="preserve"> </w:t>
      </w:r>
      <w:r w:rsidR="00CE1A65">
        <w:t>and</w:t>
      </w:r>
      <w:r w:rsidR="00B71607" w:rsidRPr="00B71607">
        <w:t xml:space="preserve"> </w:t>
      </w:r>
      <w:r w:rsidR="00CE1A65">
        <w:t>perhaps</w:t>
      </w:r>
      <w:r w:rsidR="00B71607" w:rsidRPr="00B71607">
        <w:t xml:space="preserve"> </w:t>
      </w:r>
      <w:r w:rsidR="00425467">
        <w:t>deflation</w:t>
      </w:r>
      <w:r w:rsidR="00B71607" w:rsidRPr="00B71607">
        <w:t xml:space="preserve"> </w:t>
      </w:r>
      <w:r w:rsidR="00425467">
        <w:t>and/or</w:t>
      </w:r>
      <w:r w:rsidR="00B71607" w:rsidRPr="00B71607">
        <w:t xml:space="preserve"> </w:t>
      </w:r>
      <w:r w:rsidR="00CE1A65">
        <w:t>a</w:t>
      </w:r>
      <w:r w:rsidR="00B71607" w:rsidRPr="00B71607">
        <w:t xml:space="preserve"> </w:t>
      </w:r>
      <w:r w:rsidR="00CE1A65">
        <w:t>true</w:t>
      </w:r>
      <w:r w:rsidR="00B71607" w:rsidRPr="00B71607">
        <w:t xml:space="preserve"> </w:t>
      </w:r>
      <w:r w:rsidR="00CE1A65">
        <w:t>depression.</w:t>
      </w:r>
      <w:r w:rsidR="00B71607" w:rsidRPr="00B71607">
        <w:t xml:space="preserve"> </w:t>
      </w:r>
      <w:r w:rsidR="00EA3B9B">
        <w:t>The</w:t>
      </w:r>
      <w:r w:rsidR="00B71607" w:rsidRPr="00B71607">
        <w:t xml:space="preserve"> </w:t>
      </w:r>
      <w:r w:rsidR="00EA3B9B">
        <w:t>necessary</w:t>
      </w:r>
      <w:r w:rsidR="00B71607" w:rsidRPr="00B71607">
        <w:t xml:space="preserve"> </w:t>
      </w:r>
      <w:r w:rsidR="00EA3B9B">
        <w:t>dropping</w:t>
      </w:r>
      <w:r w:rsidR="00B71607" w:rsidRPr="00B71607">
        <w:t xml:space="preserve"> </w:t>
      </w:r>
      <w:r w:rsidR="00EA3B9B">
        <w:t>of</w:t>
      </w:r>
      <w:r w:rsidR="00B71607" w:rsidRPr="00B71607">
        <w:t xml:space="preserve"> </w:t>
      </w:r>
      <w:r w:rsidR="00EA3B9B">
        <w:t>assumption</w:t>
      </w:r>
      <w:r w:rsidR="00B71607" w:rsidRPr="00B71607">
        <w:t xml:space="preserve"> </w:t>
      </w:r>
      <w:r w:rsidR="005C5AE6">
        <w:t>(ii</w:t>
      </w:r>
      <w:r w:rsidR="00EA3B9B">
        <w:t>)</w:t>
      </w:r>
      <w:r w:rsidR="00B71607" w:rsidRPr="00B71607">
        <w:t xml:space="preserve"> </w:t>
      </w:r>
      <w:r w:rsidR="00EA3B9B">
        <w:t>does</w:t>
      </w:r>
      <w:r w:rsidR="00B71607" w:rsidRPr="00B71607">
        <w:t xml:space="preserve"> </w:t>
      </w:r>
      <w:r w:rsidR="00EA3B9B">
        <w:t>not</w:t>
      </w:r>
      <w:r w:rsidR="00B71607" w:rsidRPr="00B71607">
        <w:t xml:space="preserve"> </w:t>
      </w:r>
      <w:r w:rsidR="00EA3B9B">
        <w:t>change</w:t>
      </w:r>
      <w:r w:rsidR="00B71607" w:rsidRPr="00B71607">
        <w:t xml:space="preserve"> </w:t>
      </w:r>
      <w:r w:rsidR="00EA3B9B">
        <w:t>anything.</w:t>
      </w:r>
      <w:r w:rsidR="00B71607" w:rsidRPr="00B71607">
        <w:t xml:space="preserve"> </w:t>
      </w:r>
      <w:r w:rsidR="00CE1A65">
        <w:t>But</w:t>
      </w:r>
      <w:r w:rsidR="00B71607" w:rsidRPr="00B71607">
        <w:t xml:space="preserve"> </w:t>
      </w:r>
      <w:r w:rsidR="00CE1A65">
        <w:t>as</w:t>
      </w:r>
      <w:r w:rsidR="00B71607" w:rsidRPr="00B71607">
        <w:t xml:space="preserve"> </w:t>
      </w:r>
      <w:r w:rsidR="00D4213A" w:rsidRPr="00D4213A">
        <w:rPr>
          <w:noProof/>
        </w:rPr>
        <w:t>Harrod</w:t>
      </w:r>
      <w:r w:rsidR="00B71607" w:rsidRPr="00B71607">
        <w:t xml:space="preserve"> </w:t>
      </w:r>
      <w:r w:rsidR="00CE1A65">
        <w:t>notes,</w:t>
      </w:r>
      <w:r w:rsidR="00B71607" w:rsidRPr="00B71607">
        <w:t xml:space="preserve"> </w:t>
      </w:r>
      <w:r w:rsidR="00CE1A65">
        <w:t>this</w:t>
      </w:r>
      <w:r w:rsidR="00B71607" w:rsidRPr="00B71607">
        <w:t xml:space="preserve"> </w:t>
      </w:r>
      <w:r>
        <w:t>spiral</w:t>
      </w:r>
      <w:r w:rsidR="00B71607" w:rsidRPr="00B71607">
        <w:t xml:space="preserve"> </w:t>
      </w:r>
      <w:r w:rsidR="00CE1A65">
        <w:t>might</w:t>
      </w:r>
      <w:r w:rsidR="00B71607" w:rsidRPr="00B71607">
        <w:t xml:space="preserve"> </w:t>
      </w:r>
      <w:r w:rsidR="00CE1A65">
        <w:t>be</w:t>
      </w:r>
      <w:r w:rsidR="00B71607" w:rsidRPr="00B71607">
        <w:t xml:space="preserve"> </w:t>
      </w:r>
      <w:r w:rsidR="00CE1A65">
        <w:t>counter</w:t>
      </w:r>
      <w:r w:rsidR="00E16A32">
        <w:t>acted</w:t>
      </w:r>
      <w:r w:rsidR="00B71607" w:rsidRPr="00B71607">
        <w:t xml:space="preserve"> </w:t>
      </w:r>
      <w:r w:rsidR="00E16A32">
        <w:t>by</w:t>
      </w:r>
      <w:r w:rsidR="00B71607" w:rsidRPr="00B71607">
        <w:t xml:space="preserve"> </w:t>
      </w:r>
      <w:r w:rsidR="00E16A32">
        <w:t>profit</w:t>
      </w:r>
      <w:r w:rsidR="00B71607" w:rsidRPr="00B71607">
        <w:t xml:space="preserve"> </w:t>
      </w:r>
      <w:r w:rsidR="00E16A32">
        <w:t>booms</w:t>
      </w:r>
      <w:r w:rsidR="005C5AE6">
        <w:t>, perhaps led by speculative bubbles as with the U.S. bubble economy of 2002 to 2006</w:t>
      </w:r>
      <w:r w:rsidR="008F682B">
        <w:t>.</w:t>
      </w:r>
      <w:r w:rsidR="00B71607" w:rsidRPr="00B71607">
        <w:t xml:space="preserve"> </w:t>
      </w:r>
      <w:r w:rsidR="008F682B">
        <w:t>E</w:t>
      </w:r>
      <w:r w:rsidR="00E16A32" w:rsidRPr="005C5434">
        <w:rPr>
          <w:rFonts w:eastAsiaTheme="minorEastAsia"/>
        </w:rPr>
        <w:t>xogenous</w:t>
      </w:r>
      <w:r w:rsidR="00B71607" w:rsidRPr="00B71607">
        <w:rPr>
          <w:rFonts w:eastAsiaTheme="minorEastAsia"/>
        </w:rPr>
        <w:t xml:space="preserve"> </w:t>
      </w:r>
      <w:r w:rsidR="00E16A32" w:rsidRPr="005C5434">
        <w:rPr>
          <w:rFonts w:eastAsiaTheme="minorEastAsia"/>
        </w:rPr>
        <w:t>counteracting</w:t>
      </w:r>
      <w:r w:rsidR="00B71607" w:rsidRPr="00B71607">
        <w:rPr>
          <w:rFonts w:eastAsiaTheme="minorEastAsia"/>
        </w:rPr>
        <w:t xml:space="preserve"> </w:t>
      </w:r>
      <w:r w:rsidR="00E16A32" w:rsidRPr="005C5434">
        <w:rPr>
          <w:rFonts w:eastAsiaTheme="minorEastAsia"/>
        </w:rPr>
        <w:t>forces</w:t>
      </w:r>
      <w:r w:rsidR="00B71607" w:rsidRPr="00B71607">
        <w:rPr>
          <w:rFonts w:eastAsiaTheme="minorEastAsia"/>
        </w:rPr>
        <w:t xml:space="preserve"> </w:t>
      </w:r>
      <w:r w:rsidR="00E16A32" w:rsidRPr="005C5434">
        <w:rPr>
          <w:rFonts w:eastAsiaTheme="minorEastAsia"/>
        </w:rPr>
        <w:t>such</w:t>
      </w:r>
      <w:r w:rsidR="00B71607" w:rsidRPr="00B71607">
        <w:rPr>
          <w:rFonts w:eastAsiaTheme="minorEastAsia"/>
        </w:rPr>
        <w:t xml:space="preserve"> </w:t>
      </w:r>
      <w:r w:rsidR="00E16A32" w:rsidRPr="005C5434">
        <w:rPr>
          <w:rFonts w:eastAsiaTheme="minorEastAsia"/>
        </w:rPr>
        <w:t>as</w:t>
      </w:r>
      <w:r w:rsidR="00B71607" w:rsidRPr="00B71607">
        <w:rPr>
          <w:rFonts w:eastAsiaTheme="minorEastAsia"/>
        </w:rPr>
        <w:t xml:space="preserve"> </w:t>
      </w:r>
      <w:r w:rsidR="00E16A32" w:rsidRPr="005C5434">
        <w:rPr>
          <w:rFonts w:eastAsiaTheme="minorEastAsia"/>
        </w:rPr>
        <w:t>“animal</w:t>
      </w:r>
      <w:r w:rsidR="00B71607" w:rsidRPr="00B71607">
        <w:rPr>
          <w:rFonts w:eastAsiaTheme="minorEastAsia"/>
        </w:rPr>
        <w:t xml:space="preserve"> </w:t>
      </w:r>
      <w:r w:rsidR="00845340">
        <w:rPr>
          <w:rFonts w:eastAsiaTheme="minorEastAsia"/>
        </w:rPr>
        <w:t>spirits”</w:t>
      </w:r>
      <w:r w:rsidR="00B71607" w:rsidRPr="00B71607">
        <w:rPr>
          <w:rFonts w:eastAsiaTheme="minorEastAsia"/>
        </w:rPr>
        <w:t xml:space="preserve"> </w:t>
      </w:r>
      <w:r w:rsidR="005C5AE6">
        <w:rPr>
          <w:rFonts w:eastAsiaTheme="minorEastAsia"/>
        </w:rPr>
        <w:t>(</w:t>
      </w:r>
      <w:r w:rsidR="00731A1D" w:rsidRPr="00731A1D">
        <w:rPr>
          <w:rFonts w:ascii="Times New Roman" w:eastAsiaTheme="minorEastAsia" w:hAnsi="Times New Roman"/>
          <w:b/>
          <w:i/>
          <w:szCs w:val="24"/>
        </w:rPr>
        <w:t>ε</w:t>
      </w:r>
      <w:r w:rsidR="00731A1D">
        <w:rPr>
          <w:rFonts w:eastAsiaTheme="minorEastAsia"/>
        </w:rPr>
        <w:t xml:space="preserve"> or </w:t>
      </w:r>
      <w:r w:rsidR="005C5AE6">
        <w:rPr>
          <w:rFonts w:eastAsiaTheme="minorEastAsia"/>
        </w:rPr>
        <w:t xml:space="preserve">expectations of </w:t>
      </w:r>
      <w:proofErr w:type="spellStart"/>
      <w:r w:rsidR="005C5AE6">
        <w:rPr>
          <w:rFonts w:eastAsiaTheme="minorEastAsia"/>
          <w:b/>
        </w:rPr>
        <w:t>g</w:t>
      </w:r>
      <w:r w:rsidR="005C5AE6">
        <w:rPr>
          <w:rFonts w:eastAsiaTheme="minorEastAsia"/>
          <w:b/>
          <w:smallCaps/>
          <w:vertAlign w:val="subscript"/>
        </w:rPr>
        <w:t>z</w:t>
      </w:r>
      <w:proofErr w:type="spellEnd"/>
      <w:r w:rsidR="005C5AE6">
        <w:rPr>
          <w:rFonts w:eastAsiaTheme="minorEastAsia"/>
        </w:rPr>
        <w:t xml:space="preserve">) </w:t>
      </w:r>
      <w:r w:rsidR="00845340">
        <w:rPr>
          <w:rFonts w:eastAsiaTheme="minorEastAsia"/>
        </w:rPr>
        <w:t>or</w:t>
      </w:r>
      <w:r w:rsidR="00B71607" w:rsidRPr="00B71607">
        <w:rPr>
          <w:rFonts w:eastAsiaTheme="minorEastAsia"/>
        </w:rPr>
        <w:t xml:space="preserve"> </w:t>
      </w:r>
      <w:r w:rsidR="00845340">
        <w:rPr>
          <w:rFonts w:eastAsiaTheme="minorEastAsia"/>
        </w:rPr>
        <w:t>Keynesian</w:t>
      </w:r>
      <w:r w:rsidR="00B71607" w:rsidRPr="00B71607">
        <w:rPr>
          <w:rFonts w:eastAsiaTheme="minorEastAsia"/>
        </w:rPr>
        <w:t xml:space="preserve"> </w:t>
      </w:r>
      <w:r w:rsidR="00845340">
        <w:rPr>
          <w:rFonts w:eastAsiaTheme="minorEastAsia"/>
        </w:rPr>
        <w:t>stimulus</w:t>
      </w:r>
      <w:r w:rsidR="00B71607" w:rsidRPr="00B71607">
        <w:rPr>
          <w:rFonts w:eastAsiaTheme="minorEastAsia"/>
        </w:rPr>
        <w:t xml:space="preserve"> </w:t>
      </w:r>
      <w:r w:rsidR="00E16A32">
        <w:rPr>
          <w:rFonts w:eastAsiaTheme="minorEastAsia"/>
        </w:rPr>
        <w:t>might</w:t>
      </w:r>
      <w:r w:rsidR="00B71607" w:rsidRPr="00B71607">
        <w:rPr>
          <w:rFonts w:eastAsiaTheme="minorEastAsia"/>
        </w:rPr>
        <w:t xml:space="preserve"> </w:t>
      </w:r>
      <w:r w:rsidR="008F682B">
        <w:rPr>
          <w:rFonts w:eastAsiaTheme="minorEastAsia"/>
        </w:rPr>
        <w:t>also</w:t>
      </w:r>
      <w:r w:rsidR="00B71607" w:rsidRPr="00B71607">
        <w:rPr>
          <w:rFonts w:eastAsiaTheme="minorEastAsia"/>
        </w:rPr>
        <w:t xml:space="preserve"> </w:t>
      </w:r>
      <w:r w:rsidR="00AB5F3C">
        <w:rPr>
          <w:rFonts w:eastAsiaTheme="minorEastAsia"/>
        </w:rPr>
        <w:t>save</w:t>
      </w:r>
      <w:r w:rsidR="00B71607" w:rsidRPr="00B71607">
        <w:rPr>
          <w:rFonts w:eastAsiaTheme="minorEastAsia"/>
        </w:rPr>
        <w:t xml:space="preserve"> </w:t>
      </w:r>
      <w:r w:rsidR="00AB5F3C"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 w:rsidR="00AB5F3C">
        <w:rPr>
          <w:rFonts w:eastAsiaTheme="minorEastAsia"/>
        </w:rPr>
        <w:t>day</w:t>
      </w:r>
      <w:r w:rsidR="00E16A32" w:rsidRPr="005C5434">
        <w:rPr>
          <w:rFonts w:eastAsiaTheme="minorEastAsia"/>
        </w:rPr>
        <w:t>.</w:t>
      </w:r>
      <w:r w:rsidR="00B71607" w:rsidRPr="00B71607">
        <w:rPr>
          <w:rFonts w:eastAsiaTheme="minorEastAsia"/>
        </w:rPr>
        <w:t xml:space="preserve"> </w:t>
      </w:r>
    </w:p>
    <w:p w:rsidR="00CE1A65" w:rsidRPr="00CE1A65" w:rsidRDefault="00382FB7" w:rsidP="00666531">
      <w:pPr>
        <w:spacing w:line="240" w:lineRule="auto"/>
      </w:pPr>
      <w:r>
        <w:t>This</w:t>
      </w:r>
      <w:r w:rsidR="00B71607" w:rsidRPr="00B71607">
        <w:t xml:space="preserve"> </w:t>
      </w:r>
      <w:r>
        <w:t>entire</w:t>
      </w:r>
      <w:r w:rsidR="00B71607" w:rsidRPr="00B71607">
        <w:t xml:space="preserve"> </w:t>
      </w:r>
      <w:r>
        <w:t>discussion</w:t>
      </w:r>
      <w:r w:rsidR="00B71607" w:rsidRPr="00B71607">
        <w:t xml:space="preserve"> </w:t>
      </w:r>
      <w:r w:rsidR="008C3F70">
        <w:t>implies</w:t>
      </w:r>
      <w:r w:rsidR="00B71607" w:rsidRPr="00B71607">
        <w:t xml:space="preserve"> </w:t>
      </w:r>
      <w:r w:rsidR="008C3F70">
        <w:t>a</w:t>
      </w:r>
      <w:r w:rsidR="00B71607" w:rsidRPr="00B71607">
        <w:t xml:space="preserve"> </w:t>
      </w:r>
      <w:r w:rsidR="008C3F70">
        <w:t>stark</w:t>
      </w:r>
      <w:r w:rsidR="00B71607" w:rsidRPr="00B71607">
        <w:t xml:space="preserve"> </w:t>
      </w:r>
      <w:r>
        <w:t>contrast</w:t>
      </w:r>
      <w:r w:rsidR="00B71607" w:rsidRPr="00B71607">
        <w:t xml:space="preserve"> </w:t>
      </w:r>
      <w:r>
        <w:t>between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schools.</w:t>
      </w:r>
      <w:r w:rsidR="00B71607" w:rsidRPr="00B71607">
        <w:t xml:space="preserve"> </w:t>
      </w:r>
      <w:r>
        <w:t>Like</w:t>
      </w:r>
      <w:r w:rsidR="00B71607" w:rsidRPr="00B71607">
        <w:t xml:space="preserve"> </w:t>
      </w:r>
      <w:r>
        <w:t>Solow</w:t>
      </w:r>
      <w:r w:rsidR="00B71607" w:rsidRPr="00B71607">
        <w:t xml:space="preserve"> </w:t>
      </w:r>
      <w:r>
        <w:t>(1956),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NC</w:t>
      </w:r>
      <w:r w:rsidR="00B71607" w:rsidRPr="00B71607">
        <w:t xml:space="preserve"> </w:t>
      </w:r>
      <w:r>
        <w:t>school</w:t>
      </w:r>
      <w:r w:rsidR="00B71607" w:rsidRPr="00B71607">
        <w:t xml:space="preserve"> </w:t>
      </w:r>
      <w:r>
        <w:t>emphasizes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warranted</w:t>
      </w:r>
      <w:r w:rsidR="00B71607" w:rsidRPr="00B71607">
        <w:t xml:space="preserve"> </w:t>
      </w:r>
      <w:r>
        <w:t>growth</w:t>
      </w:r>
      <w:r w:rsidR="00B71607" w:rsidRPr="00B71607">
        <w:t xml:space="preserve"> </w:t>
      </w:r>
      <w:r>
        <w:t>rate,</w:t>
      </w:r>
      <w:r w:rsidR="00B71607" w:rsidRPr="00B71607">
        <w:t xml:space="preserve"> </w:t>
      </w:r>
      <w:r>
        <w:t>which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boosted</w:t>
      </w:r>
      <w:r w:rsidR="00B71607" w:rsidRPr="00B71607">
        <w:t xml:space="preserve"> </w:t>
      </w:r>
      <w:r>
        <w:t>by</w:t>
      </w:r>
      <w:r w:rsidR="00B71607" w:rsidRPr="00B71607">
        <w:t xml:space="preserve"> </w:t>
      </w:r>
      <w:r>
        <w:t>raising</w:t>
      </w:r>
      <w:r w:rsidR="00B71607" w:rsidRPr="00B71607">
        <w:t xml:space="preserve"> </w:t>
      </w:r>
      <w:r>
        <w:rPr>
          <w:b/>
          <w:i/>
        </w:rPr>
        <w:t>s</w:t>
      </w:r>
      <w:r>
        <w:t>.</w:t>
      </w:r>
      <w:r w:rsidR="00B71607" w:rsidRPr="00B71607">
        <w:t xml:space="preserve"> </w:t>
      </w:r>
      <w:r>
        <w:t>But</w:t>
      </w:r>
      <w:r w:rsidR="00B71607" w:rsidRPr="00B71607">
        <w:t xml:space="preserve"> </w:t>
      </w:r>
      <w:r>
        <w:t>such</w:t>
      </w:r>
      <w:r w:rsidR="00B71607" w:rsidRPr="00B71607">
        <w:t xml:space="preserve"> </w:t>
      </w:r>
      <w:r>
        <w:t>changes</w:t>
      </w:r>
      <w:r w:rsidR="00B71607" w:rsidRPr="00B71607">
        <w:t xml:space="preserve"> </w:t>
      </w:r>
      <w:r>
        <w:t>–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with</w:t>
      </w:r>
      <w:r w:rsidR="00B71607" w:rsidRPr="00B71607">
        <w:t xml:space="preserve"> </w:t>
      </w:r>
      <w:r>
        <w:t>when</w:t>
      </w:r>
      <w:r w:rsidR="00B71607" w:rsidRPr="00B71607">
        <w:t xml:space="preserve"> </w:t>
      </w:r>
      <w:r>
        <w:t>austerity</w:t>
      </w:r>
      <w:r w:rsidR="00B71607" w:rsidRPr="00B71607">
        <w:t xml:space="preserve"> </w:t>
      </w:r>
      <w:r>
        <w:t>programs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raise</w:t>
      </w:r>
      <w:r w:rsidR="00B71607" w:rsidRPr="00B71607">
        <w:t xml:space="preserve"> </w:t>
      </w:r>
      <w:r>
        <w:t>government</w:t>
      </w:r>
      <w:r w:rsidR="00B71607" w:rsidRPr="00B71607">
        <w:t xml:space="preserve"> </w:t>
      </w:r>
      <w:r>
        <w:t>saving</w:t>
      </w:r>
      <w:r w:rsidR="00B71607" w:rsidRPr="00B71607">
        <w:t xml:space="preserve"> </w:t>
      </w:r>
      <w:r>
        <w:t>–</w:t>
      </w:r>
      <w:r w:rsidR="00B71607" w:rsidRPr="00B71607">
        <w:t xml:space="preserve"> </w:t>
      </w:r>
      <w:r>
        <w:t>lower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actual</w:t>
      </w:r>
      <w:r w:rsidR="00B71607" w:rsidRPr="00B71607">
        <w:t xml:space="preserve"> </w:t>
      </w:r>
      <w:r>
        <w:t>rate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growth,</w:t>
      </w:r>
      <w:r w:rsidR="00B71607" w:rsidRPr="00B71607">
        <w:t xml:space="preserve"> </w:t>
      </w:r>
      <w:r>
        <w:t>just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Keynesian</w:t>
      </w:r>
      <w:r w:rsidR="00B71607" w:rsidRPr="00B71607">
        <w:t xml:space="preserve"> </w:t>
      </w:r>
      <w:r>
        <w:t>analysis</w:t>
      </w:r>
      <w:r w:rsidR="00B71607" w:rsidRPr="00B71607">
        <w:t xml:space="preserve"> </w:t>
      </w:r>
      <w:r>
        <w:t>suggests.</w:t>
      </w:r>
      <w:r w:rsidR="00B71607" w:rsidRPr="00B71607">
        <w:t xml:space="preserve"> </w:t>
      </w:r>
      <w:r>
        <w:t>This</w:t>
      </w:r>
      <w:r w:rsidR="00B71607" w:rsidRPr="00B71607">
        <w:t xml:space="preserve"> </w:t>
      </w:r>
      <w:r>
        <w:t>result</w:t>
      </w:r>
      <w:r w:rsidR="00B71607" w:rsidRPr="00B71607">
        <w:t xml:space="preserve"> </w:t>
      </w:r>
      <w:r>
        <w:t>fits</w:t>
      </w:r>
      <w:r w:rsidR="00B71607" w:rsidRPr="00B71607">
        <w:t xml:space="preserve"> </w:t>
      </w:r>
      <w:r>
        <w:t>actual</w:t>
      </w:r>
      <w:r w:rsidR="00B71607" w:rsidRPr="00B71607">
        <w:t xml:space="preserve"> </w:t>
      </w:r>
      <w:r>
        <w:t>austerity</w:t>
      </w:r>
      <w:r w:rsidR="00B71607" w:rsidRPr="00B71607">
        <w:t xml:space="preserve"> </w:t>
      </w:r>
      <w:r>
        <w:t>cases,</w:t>
      </w:r>
      <w:r w:rsidR="00B71607" w:rsidRPr="00B71607">
        <w:t xml:space="preserve"> </w:t>
      </w:r>
      <w:r>
        <w:t>such</w:t>
      </w:r>
      <w:r w:rsidR="00B71607" w:rsidRPr="00B71607">
        <w:t xml:space="preserve"> </w:t>
      </w:r>
      <w:r>
        <w:t>as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Greece</w:t>
      </w:r>
      <w:r w:rsidR="00B71607" w:rsidRPr="00B71607">
        <w:t xml:space="preserve"> </w:t>
      </w:r>
      <w:r>
        <w:t>after</w:t>
      </w:r>
      <w:r w:rsidR="00B71607" w:rsidRPr="00B71607">
        <w:t xml:space="preserve"> </w:t>
      </w:r>
      <w:r>
        <w:t>2009.</w:t>
      </w:r>
      <w:r w:rsidR="00B71607" w:rsidRPr="00B71607">
        <w:t xml:space="preserve"> </w:t>
      </w:r>
      <w:r>
        <w:rPr>
          <w:rFonts w:eastAsiaTheme="minorEastAsia"/>
        </w:rPr>
        <w:t>Similarly,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if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a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program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lowers</w:t>
      </w:r>
      <w:r w:rsidR="00B71607" w:rsidRPr="00B71607">
        <w:rPr>
          <w:rFonts w:eastAsiaTheme="minorEastAsia"/>
        </w:rPr>
        <w:t xml:space="preserve"> </w:t>
      </w:r>
      <w:r w:rsidRPr="007042B0">
        <w:rPr>
          <w:rFonts w:eastAsiaTheme="minorEastAsia"/>
          <w:b/>
          <w:i/>
        </w:rPr>
        <w:t>s</w:t>
      </w:r>
      <w:r>
        <w:rPr>
          <w:rFonts w:eastAsiaTheme="minorEastAsia"/>
        </w:rPr>
        <w:t>,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that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lowers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warranted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rate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growth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but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increases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actual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rate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B71607" w:rsidRPr="00B71607">
        <w:rPr>
          <w:rFonts w:eastAsiaTheme="minorEastAsia"/>
        </w:rPr>
        <w:t xml:space="preserve"> </w:t>
      </w:r>
      <w:r>
        <w:rPr>
          <w:rFonts w:eastAsiaTheme="minorEastAsia"/>
        </w:rPr>
        <w:t>growth</w:t>
      </w:r>
      <w:r w:rsidR="008C3F70">
        <w:rPr>
          <w:rFonts w:eastAsiaTheme="minorEastAsia"/>
        </w:rPr>
        <w:t>,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which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is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a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positive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result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until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  <w:b/>
        </w:rPr>
        <w:t>Y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</w:rPr>
        <w:t>exceeds</w:t>
      </w:r>
      <w:r w:rsidR="00B71607" w:rsidRPr="00B71607">
        <w:rPr>
          <w:rFonts w:eastAsiaTheme="minorEastAsia"/>
        </w:rPr>
        <w:t xml:space="preserve"> </w:t>
      </w:r>
      <w:r w:rsidR="008C3F70">
        <w:rPr>
          <w:rFonts w:eastAsiaTheme="minorEastAsia"/>
          <w:b/>
        </w:rPr>
        <w:t>F</w:t>
      </w:r>
      <w:r>
        <w:rPr>
          <w:rFonts w:eastAsiaTheme="minorEastAsia"/>
        </w:rPr>
        <w:t>.</w:t>
      </w:r>
      <w:r w:rsidR="00B71607" w:rsidRPr="00B71607">
        <w:rPr>
          <w:rFonts w:eastAsiaTheme="minorEastAsia"/>
        </w:rPr>
        <w:t xml:space="preserve"> </w:t>
      </w:r>
    </w:p>
    <w:p w:rsidR="007921F4" w:rsidRDefault="007921F4" w:rsidP="007921F4">
      <w:pPr>
        <w:pStyle w:val="H4"/>
      </w:pPr>
      <w:r>
        <w:t>Solow’s</w:t>
      </w:r>
      <w:r w:rsidR="00B71607" w:rsidRPr="00B71607">
        <w:t xml:space="preserve"> </w:t>
      </w:r>
      <w:r>
        <w:t>contrast</w:t>
      </w:r>
      <w:r w:rsidR="00B71607" w:rsidRPr="00B71607">
        <w:t xml:space="preserve"> </w:t>
      </w:r>
      <w:r>
        <w:t>between</w:t>
      </w:r>
      <w:r w:rsidR="00B71607" w:rsidRPr="00B71607">
        <w:t xml:space="preserve"> </w:t>
      </w:r>
      <w:r w:rsidR="00610816">
        <w:t>W</w:t>
      </w:r>
      <w:r>
        <w:t>arranted</w:t>
      </w:r>
      <w:r w:rsidR="00B71607" w:rsidRPr="00B71607">
        <w:t xml:space="preserve"> </w:t>
      </w:r>
      <w:r>
        <w:t>and</w:t>
      </w:r>
      <w:r w:rsidR="00B71607" w:rsidRPr="00B71607">
        <w:t xml:space="preserve"> </w:t>
      </w:r>
      <w:r>
        <w:t>“</w:t>
      </w:r>
      <w:r w:rsidR="00610816">
        <w:t>N</w:t>
      </w:r>
      <w:r>
        <w:t>atural”</w:t>
      </w:r>
      <w:r w:rsidR="00B71607" w:rsidRPr="00B71607">
        <w:t xml:space="preserve"> </w:t>
      </w:r>
      <w:r>
        <w:t>growth.</w:t>
      </w:r>
      <w:r w:rsidR="00B71607" w:rsidRPr="00B71607">
        <w:t xml:space="preserve"> </w:t>
      </w:r>
    </w:p>
    <w:p w:rsidR="00F7063A" w:rsidRDefault="00D52F5C" w:rsidP="00666531">
      <w:pPr>
        <w:spacing w:line="240" w:lineRule="auto"/>
        <w:rPr>
          <w:rFonts w:eastAsiaTheme="minorEastAsia"/>
          <w:szCs w:val="24"/>
        </w:rPr>
      </w:pPr>
      <w:r>
        <w:t>As</w:t>
      </w:r>
      <w:r w:rsidR="00B71607" w:rsidRPr="00B71607">
        <w:t xml:space="preserve"> </w:t>
      </w:r>
      <w:r>
        <w:t>noted,</w:t>
      </w:r>
      <w:r w:rsidR="00B71607" w:rsidRPr="00B71607">
        <w:t xml:space="preserve"> </w:t>
      </w:r>
      <w:r w:rsidR="003C0786">
        <w:t>Solow</w:t>
      </w:r>
      <w:r w:rsidR="00B71607" w:rsidRPr="00B71607">
        <w:t xml:space="preserve"> </w:t>
      </w:r>
      <w:r w:rsidR="005328FC">
        <w:t>(1956)</w:t>
      </w:r>
      <w:r w:rsidR="00B71607" w:rsidRPr="00B71607">
        <w:t xml:space="preserve"> </w:t>
      </w:r>
      <w:r w:rsidR="00BE538D">
        <w:t>implicitly</w:t>
      </w:r>
      <w:r w:rsidR="00B71607" w:rsidRPr="00B71607">
        <w:t xml:space="preserve"> </w:t>
      </w:r>
      <w:r w:rsidR="00407190">
        <w:t>ignored</w:t>
      </w:r>
      <w:r w:rsidR="00B71607" w:rsidRPr="00B71607">
        <w:t xml:space="preserve"> </w:t>
      </w:r>
      <w:r w:rsidR="00407190">
        <w:t>the</w:t>
      </w:r>
      <w:r w:rsidR="00B71607" w:rsidRPr="00B71607">
        <w:t xml:space="preserve"> </w:t>
      </w:r>
      <w:r w:rsidR="00C433FF">
        <w:t>possible</w:t>
      </w:r>
      <w:r w:rsidR="00B71607" w:rsidRPr="00B71607">
        <w:t xml:space="preserve"> </w:t>
      </w:r>
      <w:r w:rsidR="00C433FF">
        <w:t>differences</w:t>
      </w:r>
      <w:r w:rsidR="00B71607" w:rsidRPr="00B71607">
        <w:t xml:space="preserve"> </w:t>
      </w:r>
      <w:r w:rsidR="00C433FF">
        <w:t>of</w:t>
      </w:r>
      <w:r w:rsidR="00B71607" w:rsidRPr="00B71607">
        <w:t xml:space="preserve"> </w:t>
      </w:r>
      <w:proofErr w:type="spellStart"/>
      <w:r w:rsidR="00407190">
        <w:rPr>
          <w:b/>
        </w:rPr>
        <w:t>g</w:t>
      </w:r>
      <w:r w:rsidR="00407190" w:rsidRPr="00AF3759">
        <w:rPr>
          <w:b/>
          <w:smallCaps/>
          <w:vertAlign w:val="subscript"/>
        </w:rPr>
        <w:t>w</w:t>
      </w:r>
      <w:proofErr w:type="spellEnd"/>
      <w:r w:rsidR="00B71607" w:rsidRPr="00B71607">
        <w:t xml:space="preserve"> </w:t>
      </w:r>
      <w:r w:rsidR="00407190">
        <w:t>from</w:t>
      </w:r>
      <w:r w:rsidR="00B71607" w:rsidRPr="00B71607">
        <w:t xml:space="preserve"> </w:t>
      </w:r>
      <w:r w:rsidR="00407190">
        <w:rPr>
          <w:b/>
        </w:rPr>
        <w:t>g</w:t>
      </w:r>
      <w:r w:rsidR="00407190">
        <w:t>,</w:t>
      </w:r>
      <w:r w:rsidR="00B71607" w:rsidRPr="00B71607">
        <w:t xml:space="preserve"> </w:t>
      </w:r>
      <w:r w:rsidR="00407190">
        <w:t>and</w:t>
      </w:r>
      <w:r w:rsidR="00B71607" w:rsidRPr="00B71607">
        <w:t xml:space="preserve"> </w:t>
      </w:r>
      <w:r w:rsidR="00407190">
        <w:t>thus</w:t>
      </w:r>
      <w:r w:rsidR="00B71607" w:rsidRPr="00B71607">
        <w:t xml:space="preserve"> </w:t>
      </w:r>
      <w:r w:rsidR="00D4213A" w:rsidRPr="00D4213A">
        <w:rPr>
          <w:noProof/>
        </w:rPr>
        <w:t>Harrod’s</w:t>
      </w:r>
      <w:r w:rsidR="00B71607" w:rsidRPr="00B71607">
        <w:t xml:space="preserve"> </w:t>
      </w:r>
      <w:r w:rsidR="00407190">
        <w:t>knife</w:t>
      </w:r>
      <w:r w:rsidR="00B71607" w:rsidRPr="00B71607">
        <w:t xml:space="preserve"> </w:t>
      </w:r>
      <w:r w:rsidR="00407190">
        <w:t>edge.</w:t>
      </w:r>
      <w:r w:rsidR="00B71607" w:rsidRPr="00B71607">
        <w:t xml:space="preserve"> </w:t>
      </w:r>
      <w:r w:rsidR="002E5434">
        <w:t>In</w:t>
      </w:r>
      <w:r w:rsidR="00B71607" w:rsidRPr="00B71607">
        <w:t xml:space="preserve"> </w:t>
      </w:r>
      <w:r w:rsidR="002E5434">
        <w:t>fact,</w:t>
      </w:r>
      <w:r w:rsidR="00B71607" w:rsidRPr="00B71607">
        <w:t xml:space="preserve"> </w:t>
      </w:r>
      <w:r w:rsidR="002E5434">
        <w:t>it</w:t>
      </w:r>
      <w:r w:rsidR="00B71607" w:rsidRPr="00B71607">
        <w:t xml:space="preserve"> </w:t>
      </w:r>
      <w:r w:rsidR="002E5434">
        <w:t>seems</w:t>
      </w:r>
      <w:r w:rsidR="00B71607" w:rsidRPr="00B71607">
        <w:t xml:space="preserve"> </w:t>
      </w:r>
      <w:r w:rsidR="002E5434">
        <w:t>that</w:t>
      </w:r>
      <w:r w:rsidR="00B71607" w:rsidRPr="00B71607">
        <w:t xml:space="preserve"> </w:t>
      </w:r>
      <w:r w:rsidR="002E5434">
        <w:t>the</w:t>
      </w:r>
      <w:r w:rsidR="00B71607" w:rsidRPr="00B71607">
        <w:t xml:space="preserve"> </w:t>
      </w:r>
      <w:r w:rsidR="002E5434">
        <w:t>actual</w:t>
      </w:r>
      <w:r w:rsidR="00B71607" w:rsidRPr="00B71607">
        <w:t xml:space="preserve"> </w:t>
      </w:r>
      <w:r w:rsidR="002E5434">
        <w:t>growth</w:t>
      </w:r>
      <w:r w:rsidR="00B71607" w:rsidRPr="00B71607">
        <w:t xml:space="preserve"> </w:t>
      </w:r>
      <w:r w:rsidR="002E5434">
        <w:t>rate</w:t>
      </w:r>
      <w:r w:rsidR="00B71607" w:rsidRPr="00B71607">
        <w:t xml:space="preserve"> </w:t>
      </w:r>
      <w:r w:rsidR="002E5434">
        <w:t>is</w:t>
      </w:r>
      <w:r w:rsidR="00B71607" w:rsidRPr="00B71607">
        <w:t xml:space="preserve"> </w:t>
      </w:r>
      <w:r w:rsidR="002E5434">
        <w:t>determined</w:t>
      </w:r>
      <w:r w:rsidR="00B71607" w:rsidRPr="00B71607">
        <w:t xml:space="preserve"> </w:t>
      </w:r>
      <w:r w:rsidR="002E5434">
        <w:t>by</w:t>
      </w:r>
      <w:r w:rsidR="00B71607" w:rsidRPr="00B71607">
        <w:t xml:space="preserve"> </w:t>
      </w:r>
      <w:r w:rsidR="002E5434">
        <w:t>the</w:t>
      </w:r>
      <w:r w:rsidR="00B71607" w:rsidRPr="00B71607">
        <w:t xml:space="preserve"> </w:t>
      </w:r>
      <w:r w:rsidR="002E5434">
        <w:t>wa</w:t>
      </w:r>
      <w:r w:rsidR="002E5434">
        <w:t>r</w:t>
      </w:r>
      <w:r w:rsidR="002E5434">
        <w:t>ranted</w:t>
      </w:r>
      <w:r w:rsidR="00B71607" w:rsidRPr="00B71607">
        <w:t xml:space="preserve"> </w:t>
      </w:r>
      <w:r w:rsidR="002E5434">
        <w:t>rate</w:t>
      </w:r>
      <w:r w:rsidR="00B71607" w:rsidRPr="00B71607">
        <w:t xml:space="preserve"> </w:t>
      </w:r>
      <w:r w:rsidR="00731A1D">
        <w:t xml:space="preserve">while </w:t>
      </w:r>
      <w:r w:rsidR="002E5434">
        <w:t>investment</w:t>
      </w:r>
      <w:r w:rsidR="00B71607" w:rsidRPr="00B71607">
        <w:t xml:space="preserve"> </w:t>
      </w:r>
      <w:r w:rsidR="00731A1D">
        <w:t xml:space="preserve">is </w:t>
      </w:r>
      <w:r w:rsidR="002E5434">
        <w:t>determined</w:t>
      </w:r>
      <w:r w:rsidR="00B71607" w:rsidRPr="00B71607">
        <w:t xml:space="preserve"> </w:t>
      </w:r>
      <w:r w:rsidR="002E5434">
        <w:t>by</w:t>
      </w:r>
      <w:r w:rsidR="00B71607" w:rsidRPr="00B71607">
        <w:t xml:space="preserve"> </w:t>
      </w:r>
      <w:r w:rsidR="002E5434">
        <w:t>saving.</w:t>
      </w:r>
      <w:r w:rsidR="00B71607" w:rsidRPr="00B71607">
        <w:t xml:space="preserve"> </w:t>
      </w:r>
      <w:r w:rsidR="005366AC">
        <w:rPr>
          <w:rFonts w:eastAsiaTheme="minorEastAsia"/>
          <w:szCs w:val="24"/>
        </w:rPr>
        <w:t>Even</w:t>
      </w:r>
      <w:r w:rsidR="00B71607" w:rsidRPr="00B71607">
        <w:rPr>
          <w:rFonts w:eastAsiaTheme="minorEastAsia"/>
          <w:szCs w:val="24"/>
        </w:rPr>
        <w:t xml:space="preserve"> </w:t>
      </w:r>
      <w:r w:rsidR="005366AC">
        <w:rPr>
          <w:rFonts w:eastAsiaTheme="minorEastAsia"/>
          <w:szCs w:val="24"/>
        </w:rPr>
        <w:t>if</w:t>
      </w:r>
      <w:r w:rsidR="00B71607" w:rsidRPr="00B71607">
        <w:rPr>
          <w:rFonts w:eastAsiaTheme="minorEastAsia"/>
          <w:szCs w:val="24"/>
        </w:rPr>
        <w:t xml:space="preserve"> </w:t>
      </w:r>
      <w:r w:rsidR="00022133">
        <w:rPr>
          <w:rFonts w:eastAsiaTheme="minorEastAsia"/>
          <w:szCs w:val="24"/>
        </w:rPr>
        <w:t>we</w:t>
      </w:r>
      <w:r w:rsidR="00B71607"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allow</w:t>
      </w:r>
      <w:r w:rsidR="00B71607"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this</w:t>
      </w:r>
      <w:r w:rsidR="00B71607" w:rsidRPr="00B71607">
        <w:rPr>
          <w:rFonts w:eastAsiaTheme="minorEastAsia"/>
          <w:szCs w:val="24"/>
        </w:rPr>
        <w:t xml:space="preserve"> </w:t>
      </w:r>
      <w:r w:rsidR="005328FC">
        <w:rPr>
          <w:rFonts w:eastAsiaTheme="minorEastAsia"/>
          <w:szCs w:val="24"/>
        </w:rPr>
        <w:t>to</w:t>
      </w:r>
      <w:r w:rsidR="00B71607" w:rsidRPr="00B71607">
        <w:rPr>
          <w:rFonts w:eastAsiaTheme="minorEastAsia"/>
          <w:szCs w:val="24"/>
        </w:rPr>
        <w:t xml:space="preserve"> </w:t>
      </w:r>
      <w:r w:rsidR="005328FC">
        <w:rPr>
          <w:rFonts w:eastAsiaTheme="minorEastAsia"/>
          <w:szCs w:val="24"/>
        </w:rPr>
        <w:t>be</w:t>
      </w:r>
      <w:r w:rsidR="00B71607" w:rsidRPr="00B71607">
        <w:rPr>
          <w:rFonts w:eastAsiaTheme="minorEastAsia"/>
          <w:szCs w:val="24"/>
        </w:rPr>
        <w:t xml:space="preserve"> </w:t>
      </w:r>
      <w:r w:rsidR="00022133">
        <w:rPr>
          <w:rFonts w:eastAsiaTheme="minorEastAsia"/>
          <w:szCs w:val="24"/>
        </w:rPr>
        <w:t>true,</w:t>
      </w:r>
      <w:r w:rsidR="00B71607" w:rsidRPr="00B71607">
        <w:rPr>
          <w:rFonts w:eastAsiaTheme="minorEastAsia"/>
          <w:szCs w:val="24"/>
        </w:rPr>
        <w:t xml:space="preserve"> </w:t>
      </w:r>
      <w:r w:rsidR="005366AC">
        <w:rPr>
          <w:rFonts w:eastAsiaTheme="minorEastAsia"/>
          <w:szCs w:val="24"/>
        </w:rPr>
        <w:t>we</w:t>
      </w:r>
      <w:r w:rsidR="00B71607" w:rsidRPr="00B71607">
        <w:rPr>
          <w:rFonts w:eastAsiaTheme="minorEastAsia"/>
          <w:szCs w:val="24"/>
        </w:rPr>
        <w:t xml:space="preserve"> </w:t>
      </w:r>
      <w:r w:rsidR="005366AC">
        <w:rPr>
          <w:rFonts w:eastAsiaTheme="minorEastAsia"/>
          <w:szCs w:val="24"/>
        </w:rPr>
        <w:t>face</w:t>
      </w:r>
      <w:r w:rsidR="00B71607" w:rsidRPr="00B71607">
        <w:rPr>
          <w:rFonts w:eastAsiaTheme="minorEastAsia"/>
          <w:szCs w:val="24"/>
        </w:rPr>
        <w:t xml:space="preserve"> </w:t>
      </w:r>
      <w:r w:rsidR="005328FC">
        <w:rPr>
          <w:rFonts w:eastAsiaTheme="minorEastAsia"/>
          <w:szCs w:val="24"/>
        </w:rPr>
        <w:t>two</w:t>
      </w:r>
      <w:r w:rsidR="00B71607" w:rsidRPr="00B71607">
        <w:rPr>
          <w:rFonts w:eastAsiaTheme="minorEastAsia"/>
          <w:szCs w:val="24"/>
        </w:rPr>
        <w:t xml:space="preserve"> </w:t>
      </w:r>
      <w:r w:rsidR="005328FC">
        <w:rPr>
          <w:rFonts w:eastAsiaTheme="minorEastAsia"/>
          <w:szCs w:val="24"/>
        </w:rPr>
        <w:t>problems.</w:t>
      </w:r>
      <w:r w:rsidR="00B71607" w:rsidRPr="00B71607">
        <w:rPr>
          <w:rFonts w:eastAsiaTheme="minorEastAsia"/>
          <w:szCs w:val="24"/>
        </w:rPr>
        <w:t xml:space="preserve"> </w:t>
      </w:r>
    </w:p>
    <w:p w:rsidR="00684103" w:rsidRDefault="00684103" w:rsidP="007921F4">
      <w:pPr>
        <w:pStyle w:val="ListParagraph"/>
        <w:numPr>
          <w:ilvl w:val="0"/>
          <w:numId w:val="33"/>
        </w:numPr>
        <w:spacing w:line="240" w:lineRule="auto"/>
        <w:contextualSpacing w:val="0"/>
      </w:pPr>
      <w:r>
        <w:rPr>
          <w:rFonts w:eastAsiaTheme="minorEastAsia"/>
          <w:szCs w:val="24"/>
        </w:rPr>
        <w:t>How</w:t>
      </w:r>
      <w:r w:rsidR="00B71607"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can</w:t>
      </w:r>
      <w:r w:rsidR="00B71607" w:rsidRPr="00B7160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the</w:t>
      </w:r>
      <w:r w:rsidR="00B71607" w:rsidRPr="00B71607">
        <w:rPr>
          <w:rFonts w:eastAsiaTheme="minorEastAsia"/>
          <w:szCs w:val="24"/>
        </w:rPr>
        <w:t xml:space="preserve"> </w:t>
      </w:r>
      <w:r w:rsidR="003C0786">
        <w:t>steady-state</w:t>
      </w:r>
      <w:r w:rsidR="00B71607" w:rsidRPr="00B71607">
        <w:t xml:space="preserve"> </w:t>
      </w:r>
      <w:r w:rsidR="003C0786">
        <w:t>equilibrium</w:t>
      </w:r>
      <w:r w:rsidR="00B71607" w:rsidRPr="00B71607">
        <w:t xml:space="preserve"> </w:t>
      </w:r>
      <w:r w:rsidR="00022133">
        <w:t>with</w:t>
      </w:r>
      <w:r w:rsidR="00B71607" w:rsidRPr="00B71607">
        <w:t xml:space="preserve"> </w:t>
      </w:r>
      <w:r w:rsidR="0050743F" w:rsidRPr="00684103">
        <w:rPr>
          <w:b/>
        </w:rPr>
        <w:t>g</w:t>
      </w:r>
      <w:r w:rsidR="00B71607" w:rsidRPr="00B71607">
        <w:t xml:space="preserve"> </w:t>
      </w:r>
      <w:r w:rsidR="003C0786">
        <w:t>=</w:t>
      </w:r>
      <w:r w:rsidR="00B71607" w:rsidRPr="00B71607">
        <w:t xml:space="preserve"> </w:t>
      </w:r>
      <w:proofErr w:type="spellStart"/>
      <w:r w:rsidR="0050743F" w:rsidRPr="00684103">
        <w:rPr>
          <w:b/>
        </w:rPr>
        <w:t>g</w:t>
      </w:r>
      <w:r w:rsidR="005328FC" w:rsidRPr="00684103">
        <w:rPr>
          <w:b/>
          <w:smallCaps/>
          <w:vertAlign w:val="subscript"/>
        </w:rPr>
        <w:t>f</w:t>
      </w:r>
      <w:proofErr w:type="spellEnd"/>
      <w:r w:rsidR="00B71607" w:rsidRPr="00B71607">
        <w:t xml:space="preserve"> </w:t>
      </w:r>
      <w:r w:rsidR="00666531">
        <w:t>(with</w:t>
      </w:r>
      <w:r w:rsidR="00B71607" w:rsidRPr="00B71607">
        <w:t xml:space="preserve"> </w:t>
      </w:r>
      <w:r w:rsidR="00666531">
        <w:t>the</w:t>
      </w:r>
      <w:r w:rsidR="00B71607" w:rsidRPr="00B71607">
        <w:t xml:space="preserve"> </w:t>
      </w:r>
      <w:r w:rsidR="00666531">
        <w:t>supply</w:t>
      </w:r>
      <w:r w:rsidR="00B71607" w:rsidRPr="00B71607">
        <w:t xml:space="preserve"> </w:t>
      </w:r>
      <w:r w:rsidR="00666531">
        <w:t>of</w:t>
      </w:r>
      <w:r w:rsidR="00B71607" w:rsidRPr="00B71607">
        <w:t xml:space="preserve"> </w:t>
      </w:r>
      <w:r w:rsidR="00666531">
        <w:t>and</w:t>
      </w:r>
      <w:r w:rsidR="00B71607" w:rsidRPr="00B71607">
        <w:t xml:space="preserve"> </w:t>
      </w:r>
      <w:r w:rsidR="00666531">
        <w:t>demand</w:t>
      </w:r>
      <w:r w:rsidR="00B71607" w:rsidRPr="00B71607">
        <w:t xml:space="preserve"> </w:t>
      </w:r>
      <w:r w:rsidR="00666531">
        <w:t>for</w:t>
      </w:r>
      <w:r w:rsidR="00B71607" w:rsidRPr="00B71607">
        <w:t xml:space="preserve"> </w:t>
      </w:r>
      <w:r w:rsidR="00666531">
        <w:t>labor-power</w:t>
      </w:r>
      <w:r w:rsidR="00B71607" w:rsidRPr="00B71607">
        <w:t xml:space="preserve"> </w:t>
      </w:r>
      <w:r w:rsidR="00666531">
        <w:t>growing</w:t>
      </w:r>
      <w:r w:rsidR="00B71607" w:rsidRPr="00B71607">
        <w:t xml:space="preserve"> </w:t>
      </w:r>
      <w:r w:rsidR="00666531">
        <w:t>at</w:t>
      </w:r>
      <w:r w:rsidR="00B71607" w:rsidRPr="00B71607">
        <w:t xml:space="preserve"> </w:t>
      </w:r>
      <w:r w:rsidR="00666531">
        <w:t>the</w:t>
      </w:r>
      <w:r w:rsidR="00B71607" w:rsidRPr="00B71607">
        <w:t xml:space="preserve"> </w:t>
      </w:r>
      <w:r w:rsidR="00666531">
        <w:t>same</w:t>
      </w:r>
      <w:r w:rsidR="00B71607" w:rsidRPr="00B71607">
        <w:t xml:space="preserve"> </w:t>
      </w:r>
      <w:r w:rsidR="00666531">
        <w:t>rate</w:t>
      </w:r>
      <w:r w:rsidR="00731A1D">
        <w:t xml:space="preserve"> and </w:t>
      </w:r>
      <w:r w:rsidR="00731A1D">
        <w:rPr>
          <w:b/>
          <w:i/>
        </w:rPr>
        <w:t>e</w:t>
      </w:r>
      <w:r w:rsidR="00731A1D">
        <w:rPr>
          <w:i/>
        </w:rPr>
        <w:t xml:space="preserve"> </w:t>
      </w:r>
      <w:r w:rsidR="00731A1D" w:rsidRPr="00731A1D">
        <w:t>constant</w:t>
      </w:r>
      <w:r w:rsidR="00731A1D">
        <w:rPr>
          <w:i/>
        </w:rPr>
        <w:t xml:space="preserve"> </w:t>
      </w:r>
      <w:r w:rsidR="00666531">
        <w:t>)</w:t>
      </w:r>
      <w:r w:rsidR="00B71607" w:rsidRPr="00B71607">
        <w:t xml:space="preserve"> </w:t>
      </w:r>
      <w:r>
        <w:t>be</w:t>
      </w:r>
      <w:r w:rsidR="00B71607" w:rsidRPr="00B71607">
        <w:t xml:space="preserve"> </w:t>
      </w:r>
      <w:r>
        <w:t>attained</w:t>
      </w:r>
      <w:r w:rsidR="00D606BE">
        <w:t>?</w:t>
      </w:r>
      <w:r w:rsidR="00B71607" w:rsidRPr="00B71607">
        <w:t xml:space="preserve"> </w:t>
      </w:r>
    </w:p>
    <w:p w:rsidR="00C42807" w:rsidRDefault="00684103" w:rsidP="007921F4">
      <w:pPr>
        <w:pStyle w:val="ListParagraph"/>
        <w:numPr>
          <w:ilvl w:val="0"/>
          <w:numId w:val="33"/>
        </w:numPr>
        <w:spacing w:line="240" w:lineRule="auto"/>
      </w:pPr>
      <w:r>
        <w:t>S</w:t>
      </w:r>
      <w:r w:rsidR="005328FC">
        <w:t>ince</w:t>
      </w:r>
      <w:r w:rsidR="00B71607" w:rsidRPr="00B71607">
        <w:t xml:space="preserve"> </w:t>
      </w:r>
      <w:r w:rsidR="00F7063A">
        <w:t>“</w:t>
      </w:r>
      <w:r w:rsidR="005328FC">
        <w:t>natural</w:t>
      </w:r>
      <w:r w:rsidR="00F7063A">
        <w:t>”</w:t>
      </w:r>
      <w:r w:rsidR="00B71607" w:rsidRPr="00B71607">
        <w:t xml:space="preserve"> </w:t>
      </w:r>
      <w:r w:rsidR="005328FC">
        <w:t>growth</w:t>
      </w:r>
      <w:r w:rsidR="00B71607" w:rsidRPr="00B71607">
        <w:t xml:space="preserve"> </w:t>
      </w:r>
      <w:r w:rsidR="005328FC">
        <w:t>can</w:t>
      </w:r>
      <w:r w:rsidR="00B71607" w:rsidRPr="00B71607">
        <w:t xml:space="preserve"> </w:t>
      </w:r>
      <w:r w:rsidR="005328FC">
        <w:t>occur</w:t>
      </w:r>
      <w:r w:rsidR="00B71607" w:rsidRPr="00B71607">
        <w:t xml:space="preserve"> </w:t>
      </w:r>
      <w:r w:rsidR="005328FC">
        <w:t>with</w:t>
      </w:r>
      <w:r w:rsidR="00B71607" w:rsidRPr="00B71607">
        <w:t xml:space="preserve"> </w:t>
      </w:r>
      <w:r w:rsidR="005328FC" w:rsidRPr="00684103">
        <w:rPr>
          <w:b/>
          <w:i/>
        </w:rPr>
        <w:t>e</w:t>
      </w:r>
      <w:r w:rsidR="00B71607" w:rsidRPr="00B71607">
        <w:t xml:space="preserve"> </w:t>
      </w:r>
      <w:r w:rsidR="005328FC">
        <w:t>&lt;</w:t>
      </w:r>
      <w:r w:rsidR="00B71607" w:rsidRPr="00B71607">
        <w:t xml:space="preserve"> </w:t>
      </w:r>
      <w:r w:rsidR="005328FC">
        <w:t>1</w:t>
      </w:r>
      <w:r w:rsidR="00B71607" w:rsidRPr="00B71607">
        <w:t xml:space="preserve"> </w:t>
      </w:r>
      <w:r w:rsidR="005328FC">
        <w:t>and</w:t>
      </w:r>
      <w:r w:rsidR="00B71607" w:rsidRPr="00B71607">
        <w:t xml:space="preserve"> </w:t>
      </w:r>
      <w:r w:rsidR="008363D6" w:rsidRPr="00684103">
        <w:rPr>
          <w:b/>
        </w:rPr>
        <w:t>Y</w:t>
      </w:r>
      <w:r w:rsidR="00B71607" w:rsidRPr="00B71607">
        <w:t xml:space="preserve"> </w:t>
      </w:r>
      <w:r w:rsidR="005328FC">
        <w:t>&lt;</w:t>
      </w:r>
      <w:r w:rsidR="00B71607" w:rsidRPr="00B71607">
        <w:t xml:space="preserve"> </w:t>
      </w:r>
      <w:r w:rsidR="005328FC" w:rsidRPr="00684103">
        <w:rPr>
          <w:b/>
        </w:rPr>
        <w:t>F</w:t>
      </w:r>
      <w:r w:rsidR="00B71607" w:rsidRPr="00B71607">
        <w:t xml:space="preserve"> </w:t>
      </w:r>
      <w:r w:rsidR="00F7063A">
        <w:t>(as</w:t>
      </w:r>
      <w:r w:rsidR="00B71607" w:rsidRPr="00B71607">
        <w:t xml:space="preserve"> </w:t>
      </w:r>
      <w:r w:rsidR="00F7063A">
        <w:t>in</w:t>
      </w:r>
      <w:r w:rsidR="00B71607" w:rsidRPr="00B71607">
        <w:t xml:space="preserve"> </w:t>
      </w:r>
      <w:r w:rsidR="00F7063A">
        <w:fldChar w:fldCharType="begin"/>
      </w:r>
      <w:r w:rsidR="00F7063A">
        <w:instrText xml:space="preserve"> REF  _Ref407686664 \h \* Lower </w:instrText>
      </w:r>
      <w:r w:rsidR="00F7063A">
        <w:fldChar w:fldCharType="separate"/>
      </w:r>
      <w:r w:rsidR="00292438">
        <w:t>figure</w:t>
      </w:r>
      <w:r w:rsidR="00292438" w:rsidRPr="00B71607">
        <w:t xml:space="preserve"> </w:t>
      </w:r>
      <w:r w:rsidR="00292438">
        <w:rPr>
          <w:noProof/>
        </w:rPr>
        <w:t>1</w:t>
      </w:r>
      <w:r w:rsidR="00F7063A">
        <w:fldChar w:fldCharType="end"/>
      </w:r>
      <w:r w:rsidR="00F7063A">
        <w:t>)</w:t>
      </w:r>
      <w:r w:rsidR="005328FC">
        <w:t>,</w:t>
      </w:r>
      <w:r w:rsidR="00B71607" w:rsidRPr="00B71607">
        <w:t xml:space="preserve"> </w:t>
      </w:r>
      <w:r>
        <w:t>how</w:t>
      </w:r>
      <w:r w:rsidR="00B71607" w:rsidRPr="00B71607">
        <w:t xml:space="preserve"> </w:t>
      </w:r>
      <w:r>
        <w:t>can</w:t>
      </w:r>
      <w:r w:rsidR="00B71607" w:rsidRPr="00B71607">
        <w:t xml:space="preserve"> </w:t>
      </w:r>
      <w:r w:rsidR="005328FC">
        <w:t>the</w:t>
      </w:r>
      <w:r w:rsidR="00B71607" w:rsidRPr="00B71607">
        <w:t xml:space="preserve"> </w:t>
      </w:r>
      <w:r w:rsidR="005328FC">
        <w:t>actual</w:t>
      </w:r>
      <w:r w:rsidR="00B71607" w:rsidRPr="00B71607">
        <w:t xml:space="preserve"> </w:t>
      </w:r>
      <w:r w:rsidR="006B0AA4" w:rsidRPr="00684103">
        <w:rPr>
          <w:b/>
          <w:i/>
        </w:rPr>
        <w:t>e</w:t>
      </w:r>
      <w:r w:rsidR="00B71607" w:rsidRPr="00B71607">
        <w:t xml:space="preserve"> </w:t>
      </w:r>
      <w:r w:rsidR="005328FC">
        <w:t>can</w:t>
      </w:r>
      <w:r w:rsidR="00B71607" w:rsidRPr="00B71607">
        <w:t xml:space="preserve"> </w:t>
      </w:r>
      <w:r w:rsidR="005328FC">
        <w:t>be</w:t>
      </w:r>
      <w:r w:rsidR="00B71607" w:rsidRPr="00B71607">
        <w:t xml:space="preserve"> </w:t>
      </w:r>
      <w:r w:rsidR="005328FC">
        <w:t>nudged</w:t>
      </w:r>
      <w:r w:rsidR="00B71607" w:rsidRPr="00B71607">
        <w:t xml:space="preserve"> </w:t>
      </w:r>
      <w:r w:rsidR="005328FC">
        <w:t>upward</w:t>
      </w:r>
      <w:r w:rsidR="00B71607" w:rsidRPr="00B71607">
        <w:t xml:space="preserve"> </w:t>
      </w:r>
      <w:r w:rsidR="005328FC">
        <w:t>to</w:t>
      </w:r>
      <w:r w:rsidR="00B71607" w:rsidRPr="00B71607">
        <w:t xml:space="preserve"> </w:t>
      </w:r>
      <w:r w:rsidR="005328FC">
        <w:t>equal</w:t>
      </w:r>
      <w:r w:rsidR="00B71607" w:rsidRPr="00B71607">
        <w:t xml:space="preserve"> </w:t>
      </w:r>
      <w:r>
        <w:t>1?</w:t>
      </w:r>
      <w:r w:rsidR="00B71607" w:rsidRPr="00B71607">
        <w:t xml:space="preserve"> </w:t>
      </w:r>
    </w:p>
    <w:p w:rsidR="0020251A" w:rsidRDefault="00EA3B9B" w:rsidP="00C42807">
      <w:pPr>
        <w:spacing w:line="240" w:lineRule="auto"/>
      </w:pPr>
      <w:r>
        <w:t>One</w:t>
      </w:r>
      <w:r w:rsidR="00B71607" w:rsidRPr="00B71607">
        <w:t xml:space="preserve"> </w:t>
      </w:r>
      <w:r>
        <w:t>way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answer</w:t>
      </w:r>
      <w:r w:rsidR="00B71607" w:rsidRPr="00B71607">
        <w:t xml:space="preserve"> </w:t>
      </w:r>
      <w:r>
        <w:t>these</w:t>
      </w:r>
      <w:r w:rsidR="00B71607" w:rsidRPr="00B71607">
        <w:t xml:space="preserve"> </w:t>
      </w:r>
      <w:r>
        <w:t>questions</w:t>
      </w:r>
      <w:r w:rsidR="00B71607" w:rsidRPr="00B71607">
        <w:t xml:space="preserve"> </w:t>
      </w:r>
      <w:r>
        <w:t>is</w:t>
      </w:r>
      <w:r w:rsidR="00B71607" w:rsidRPr="00B71607">
        <w:t xml:space="preserve"> </w:t>
      </w:r>
      <w:r>
        <w:t>to</w:t>
      </w:r>
      <w:r w:rsidR="00B71607" w:rsidRPr="00B71607">
        <w:t xml:space="preserve"> </w:t>
      </w:r>
      <w:r>
        <w:t>assume</w:t>
      </w:r>
      <w:r w:rsidR="00B71607" w:rsidRPr="00B71607">
        <w:t xml:space="preserve"> </w:t>
      </w:r>
      <w:r>
        <w:t>that</w:t>
      </w:r>
      <w:r w:rsidR="00B71607" w:rsidRPr="00B71607">
        <w:t xml:space="preserve"> </w:t>
      </w:r>
      <w:r>
        <w:t>Say’s</w:t>
      </w:r>
      <w:r w:rsidR="00B71607" w:rsidRPr="00B71607">
        <w:t xml:space="preserve"> </w:t>
      </w:r>
      <w:r w:rsidR="00F10E38">
        <w:t>discredited</w:t>
      </w:r>
      <w:r w:rsidR="00B71607" w:rsidRPr="00B71607">
        <w:t xml:space="preserve"> </w:t>
      </w:r>
      <w:r w:rsidR="00AE0D6C">
        <w:t>axiom</w:t>
      </w:r>
      <w:r w:rsidR="00B71607" w:rsidRPr="00B71607">
        <w:t xml:space="preserve"> </w:t>
      </w:r>
      <w:r>
        <w:t>a</w:t>
      </w:r>
      <w:r>
        <w:t>p</w:t>
      </w:r>
      <w:r>
        <w:t>pl</w:t>
      </w:r>
      <w:r w:rsidR="00731A1D">
        <w:t>ies</w:t>
      </w:r>
      <w:r>
        <w:t>.</w:t>
      </w:r>
      <w:r w:rsidR="00B71607" w:rsidRPr="00B71607">
        <w:t xml:space="preserve"> </w:t>
      </w:r>
      <w:r>
        <w:t>More</w:t>
      </w:r>
      <w:r w:rsidR="00B71607" w:rsidRPr="00B71607">
        <w:t xml:space="preserve"> </w:t>
      </w:r>
      <w:r>
        <w:t>reasonably,</w:t>
      </w:r>
      <w:r w:rsidR="00B71607" w:rsidRPr="00B71607">
        <w:t xml:space="preserve"> </w:t>
      </w:r>
      <w:r>
        <w:t>one</w:t>
      </w:r>
      <w:r w:rsidR="00B71607" w:rsidRPr="00B71607">
        <w:t xml:space="preserve"> </w:t>
      </w:r>
      <w:r w:rsidRPr="00666531">
        <w:t>might</w:t>
      </w:r>
      <w:r w:rsidR="00B71607" w:rsidRPr="00B71607">
        <w:t xml:space="preserve"> </w:t>
      </w:r>
      <w:r w:rsidRPr="00666531">
        <w:t>assum</w:t>
      </w:r>
      <w:r>
        <w:t>e</w:t>
      </w:r>
      <w:r w:rsidR="00B71607" w:rsidRPr="00B71607">
        <w:t xml:space="preserve"> </w:t>
      </w:r>
      <w:r w:rsidRPr="00666531">
        <w:t>that</w:t>
      </w:r>
      <w:r w:rsidR="00B71607" w:rsidRPr="00B71607">
        <w:t xml:space="preserve"> </w:t>
      </w:r>
      <w:r w:rsidRPr="00666531">
        <w:t>Samuelson’s</w:t>
      </w:r>
      <w:r w:rsidR="00B71607" w:rsidRPr="00B71607">
        <w:t xml:space="preserve"> </w:t>
      </w:r>
      <w:r w:rsidR="00731A1D">
        <w:t xml:space="preserve">optimistic </w:t>
      </w:r>
      <w:r w:rsidRPr="00666531">
        <w:t>NC</w:t>
      </w:r>
      <w:r>
        <w:t>/</w:t>
      </w:r>
      <w:r w:rsidRPr="00666531">
        <w:t>Keynesian</w:t>
      </w:r>
      <w:r w:rsidR="00B71607" w:rsidRPr="00B71607">
        <w:t xml:space="preserve"> </w:t>
      </w:r>
      <w:r w:rsidRPr="00666531">
        <w:t>“synthesis”</w:t>
      </w:r>
      <w:r w:rsidR="00B71607" w:rsidRPr="00B71607">
        <w:t xml:space="preserve"> </w:t>
      </w:r>
      <w:r w:rsidRPr="00666531">
        <w:t>a</w:t>
      </w:r>
      <w:r w:rsidRPr="00666531">
        <w:t>p</w:t>
      </w:r>
      <w:r w:rsidRPr="00666531">
        <w:t>plie</w:t>
      </w:r>
      <w:r>
        <w:t>s</w:t>
      </w:r>
      <w:r w:rsidRPr="00666531">
        <w:t>,</w:t>
      </w:r>
      <w:r w:rsidR="00B71607" w:rsidRPr="00B71607">
        <w:t xml:space="preserve"> </w:t>
      </w:r>
      <w:r w:rsidRPr="00666531">
        <w:t>with</w:t>
      </w:r>
      <w:r w:rsidR="00B71607" w:rsidRPr="00B71607">
        <w:t xml:space="preserve"> </w:t>
      </w:r>
      <w:r w:rsidRPr="00666531">
        <w:t>macropolicy</w:t>
      </w:r>
      <w:r w:rsidR="00B71607" w:rsidRPr="00B71607">
        <w:t xml:space="preserve"> </w:t>
      </w:r>
      <w:r>
        <w:t>being</w:t>
      </w:r>
      <w:r w:rsidR="00B71607" w:rsidRPr="00B71607">
        <w:t xml:space="preserve"> </w:t>
      </w:r>
      <w:r w:rsidRPr="00666531">
        <w:t>continuously</w:t>
      </w:r>
      <w:r w:rsidR="00B71607" w:rsidRPr="00B71607">
        <w:t xml:space="preserve"> </w:t>
      </w:r>
      <w:r w:rsidRPr="00666531">
        <w:t>successful</w:t>
      </w:r>
      <w:r w:rsidR="00B71607" w:rsidRPr="00B71607">
        <w:t xml:space="preserve"> </w:t>
      </w:r>
      <w:r w:rsidRPr="00666531">
        <w:t>at</w:t>
      </w:r>
      <w:r w:rsidR="00B71607" w:rsidRPr="00B71607">
        <w:t xml:space="preserve"> </w:t>
      </w:r>
      <w:r w:rsidRPr="00666531">
        <w:t>maintaining</w:t>
      </w:r>
      <w:r w:rsidR="00B71607" w:rsidRPr="00B71607">
        <w:t xml:space="preserve"> </w:t>
      </w:r>
      <w:r w:rsidRPr="00666531">
        <w:t>FE.</w:t>
      </w:r>
      <w:r w:rsidR="00B71607" w:rsidRPr="00B71607">
        <w:t xml:space="preserve"> </w:t>
      </w:r>
      <w:r>
        <w:t>From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>
        <w:t>perspe</w:t>
      </w:r>
      <w:r>
        <w:t>c</w:t>
      </w:r>
      <w:r>
        <w:t>tive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2015</w:t>
      </w:r>
      <w:r w:rsidRPr="00666531">
        <w:t>,</w:t>
      </w:r>
      <w:r w:rsidR="00B71607" w:rsidRPr="00B71607">
        <w:t xml:space="preserve"> </w:t>
      </w:r>
      <w:r w:rsidRPr="00666531">
        <w:t>that</w:t>
      </w:r>
      <w:r w:rsidR="00B71607" w:rsidRPr="00B71607">
        <w:t xml:space="preserve"> </w:t>
      </w:r>
      <w:r>
        <w:t>story</w:t>
      </w:r>
      <w:r w:rsidR="00B71607" w:rsidRPr="00B71607">
        <w:t xml:space="preserve"> </w:t>
      </w:r>
      <w:r w:rsidRPr="00666531">
        <w:t>seems</w:t>
      </w:r>
      <w:r w:rsidR="00B71607" w:rsidRPr="00B71607">
        <w:t xml:space="preserve"> </w:t>
      </w:r>
      <w:r w:rsidRPr="00666531">
        <w:t>quite</w:t>
      </w:r>
      <w:r w:rsidR="00B71607" w:rsidRPr="00B71607">
        <w:t xml:space="preserve"> </w:t>
      </w:r>
      <w:r w:rsidRPr="00666531">
        <w:t>odd.</w:t>
      </w:r>
      <w:r w:rsidR="00B71607" w:rsidRPr="00B71607">
        <w:t xml:space="preserve"> </w:t>
      </w:r>
      <w:r>
        <w:t>Of</w:t>
      </w:r>
      <w:r w:rsidR="00B71607" w:rsidRPr="00B71607">
        <w:t xml:space="preserve"> </w:t>
      </w:r>
      <w:r>
        <w:t>course,</w:t>
      </w:r>
      <w:r w:rsidR="00B71607" w:rsidRPr="00B71607">
        <w:t xml:space="preserve"> </w:t>
      </w:r>
      <w:r>
        <w:t>the</w:t>
      </w:r>
      <w:r w:rsidR="00B71607" w:rsidRPr="00B71607">
        <w:t xml:space="preserve"> </w:t>
      </w:r>
      <w:r w:rsidR="003C518F">
        <w:t>NC</w:t>
      </w:r>
      <w:r w:rsidR="00B71607" w:rsidRPr="00B71607">
        <w:t xml:space="preserve"> </w:t>
      </w:r>
      <w:r w:rsidR="003C518F">
        <w:t>school</w:t>
      </w:r>
      <w:r w:rsidR="00B71607" w:rsidRPr="00B71607">
        <w:t xml:space="preserve"> </w:t>
      </w:r>
      <w:r w:rsidR="00EB25B2">
        <w:t>solve</w:t>
      </w:r>
      <w:r w:rsidR="006B733E">
        <w:t>s</w:t>
      </w:r>
      <w:r w:rsidR="00B71607" w:rsidRPr="00B71607">
        <w:t xml:space="preserve"> </w:t>
      </w:r>
      <w:r w:rsidR="006B733E">
        <w:t>these</w:t>
      </w:r>
      <w:r w:rsidR="00B71607" w:rsidRPr="00B71607">
        <w:t xml:space="preserve"> </w:t>
      </w:r>
      <w:r w:rsidR="006B733E">
        <w:t>problems</w:t>
      </w:r>
      <w:r w:rsidR="00B71607" w:rsidRPr="00B71607">
        <w:t xml:space="preserve"> </w:t>
      </w:r>
      <w:r w:rsidR="00F7063A">
        <w:t>by</w:t>
      </w:r>
      <w:r w:rsidR="00B71607" w:rsidRPr="00B71607">
        <w:t xml:space="preserve"> </w:t>
      </w:r>
      <w:r w:rsidR="006B733E">
        <w:t>assu</w:t>
      </w:r>
      <w:r w:rsidR="006B733E">
        <w:t>m</w:t>
      </w:r>
      <w:r w:rsidR="006B733E">
        <w:t>ing</w:t>
      </w:r>
      <w:r w:rsidR="00B71607" w:rsidRPr="00B71607">
        <w:t xml:space="preserve"> </w:t>
      </w:r>
      <w:r w:rsidR="00310397">
        <w:t>that</w:t>
      </w:r>
      <w:r w:rsidR="00B71607" w:rsidRPr="00B71607">
        <w:t xml:space="preserve"> </w:t>
      </w:r>
      <w:r w:rsidR="00310397">
        <w:t>factor</w:t>
      </w:r>
      <w:r w:rsidR="00B71607" w:rsidRPr="00B71607">
        <w:t xml:space="preserve"> </w:t>
      </w:r>
      <w:r w:rsidR="00310397">
        <w:t>prices</w:t>
      </w:r>
      <w:r w:rsidR="00B71607" w:rsidRPr="00B71607">
        <w:t xml:space="preserve"> </w:t>
      </w:r>
      <w:r w:rsidR="00310397">
        <w:t>are</w:t>
      </w:r>
      <w:r w:rsidR="00B71607" w:rsidRPr="00B71607">
        <w:t xml:space="preserve"> </w:t>
      </w:r>
      <w:r w:rsidR="00310397">
        <w:t>determined</w:t>
      </w:r>
      <w:r w:rsidR="00B71607" w:rsidRPr="00B71607">
        <w:t xml:space="preserve"> </w:t>
      </w:r>
      <w:r w:rsidR="00310397">
        <w:t>by</w:t>
      </w:r>
      <w:r w:rsidR="00B71607" w:rsidRPr="00B71607">
        <w:t xml:space="preserve"> </w:t>
      </w:r>
      <w:r w:rsidR="00310397">
        <w:t>freely-adjusting</w:t>
      </w:r>
      <w:r w:rsidR="00B71607" w:rsidRPr="00B71607">
        <w:t xml:space="preserve"> </w:t>
      </w:r>
      <w:r w:rsidR="00310397">
        <w:t>market</w:t>
      </w:r>
      <w:r w:rsidR="002623BE">
        <w:t>s</w:t>
      </w:r>
      <w:r w:rsidR="00B71607" w:rsidRPr="00B71607">
        <w:t xml:space="preserve"> </w:t>
      </w:r>
      <w:r w:rsidR="00C42807">
        <w:t>and</w:t>
      </w:r>
      <w:r w:rsidR="00B71607" w:rsidRPr="00B71607">
        <w:t xml:space="preserve"> </w:t>
      </w:r>
      <w:r w:rsidR="00C42807">
        <w:t>of</w:t>
      </w:r>
      <w:r w:rsidR="00B71607" w:rsidRPr="00B71607">
        <w:t xml:space="preserve"> </w:t>
      </w:r>
      <w:r w:rsidR="00C42807">
        <w:t>course</w:t>
      </w:r>
      <w:r w:rsidR="00B71607" w:rsidRPr="00B71607">
        <w:t xml:space="preserve"> </w:t>
      </w:r>
      <w:r w:rsidR="00C42807">
        <w:t>that</w:t>
      </w:r>
      <w:r w:rsidR="00B71607" w:rsidRPr="00B71607">
        <w:t xml:space="preserve"> </w:t>
      </w:r>
      <w:r w:rsidR="00C42807">
        <w:rPr>
          <w:b/>
          <w:i/>
        </w:rPr>
        <w:t>c</w:t>
      </w:r>
      <w:r w:rsidR="00B71607" w:rsidRPr="00B71607">
        <w:t xml:space="preserve"> </w:t>
      </w:r>
      <w:r w:rsidR="00C42807">
        <w:t>va</w:t>
      </w:r>
      <w:r w:rsidR="00C42807">
        <w:t>r</w:t>
      </w:r>
      <w:r w:rsidR="00C42807">
        <w:t>ies</w:t>
      </w:r>
      <w:r w:rsidR="00B71607" w:rsidRPr="00B71607">
        <w:t xml:space="preserve"> </w:t>
      </w:r>
      <w:r w:rsidR="00C42807">
        <w:t>with</w:t>
      </w:r>
      <w:r w:rsidR="00B71607" w:rsidRPr="00B71607">
        <w:t xml:space="preserve"> </w:t>
      </w:r>
      <w:r w:rsidR="00C42807">
        <w:t>those</w:t>
      </w:r>
      <w:r w:rsidR="00B71607" w:rsidRPr="00B71607">
        <w:t xml:space="preserve"> </w:t>
      </w:r>
      <w:r w:rsidR="00C42807">
        <w:t>prices</w:t>
      </w:r>
      <w:r w:rsidR="006B733E">
        <w:t>.</w:t>
      </w:r>
      <w:r w:rsidR="00B71607" w:rsidRPr="00B71607">
        <w:t xml:space="preserve"> </w:t>
      </w:r>
      <w:r w:rsidR="006B733E">
        <w:t>The</w:t>
      </w:r>
      <w:r w:rsidR="00310397">
        <w:t>s</w:t>
      </w:r>
      <w:r w:rsidR="006B733E">
        <w:t>e</w:t>
      </w:r>
      <w:r w:rsidR="00B71607" w:rsidRPr="00B71607">
        <w:t xml:space="preserve"> </w:t>
      </w:r>
      <w:r w:rsidR="00070632">
        <w:t>stories</w:t>
      </w:r>
      <w:r w:rsidR="00B71607" w:rsidRPr="00B71607">
        <w:t xml:space="preserve"> </w:t>
      </w:r>
      <w:r w:rsidR="006B733E">
        <w:t>are</w:t>
      </w:r>
      <w:r w:rsidR="00B71607" w:rsidRPr="00B71607">
        <w:t xml:space="preserve"> </w:t>
      </w:r>
      <w:r w:rsidR="00310397">
        <w:t>addressed</w:t>
      </w:r>
      <w:r w:rsidR="00B71607" w:rsidRPr="00B71607">
        <w:t xml:space="preserve"> </w:t>
      </w:r>
      <w:r w:rsidR="00310397">
        <w:t>in</w:t>
      </w:r>
      <w:r w:rsidR="00B71607" w:rsidRPr="00B71607">
        <w:t xml:space="preserve"> </w:t>
      </w:r>
      <w:r w:rsidR="00310397">
        <w:t>the</w:t>
      </w:r>
      <w:r w:rsidR="00B71607" w:rsidRPr="00B71607">
        <w:t xml:space="preserve"> </w:t>
      </w:r>
      <w:r w:rsidR="00872326">
        <w:t xml:space="preserve">next part </w:t>
      </w:r>
      <w:r w:rsidR="00310397">
        <w:t>of</w:t>
      </w:r>
      <w:r w:rsidR="00B71607" w:rsidRPr="00B71607">
        <w:t xml:space="preserve"> </w:t>
      </w:r>
      <w:r w:rsidR="00310397">
        <w:t>the</w:t>
      </w:r>
      <w:r w:rsidR="00B71607" w:rsidRPr="00B71607">
        <w:t xml:space="preserve"> </w:t>
      </w:r>
      <w:r w:rsidR="00310397">
        <w:t>paper.</w:t>
      </w:r>
    </w:p>
    <w:p w:rsidR="0003481B" w:rsidRPr="009D0D03" w:rsidRDefault="0003481B" w:rsidP="0045008F">
      <w:pPr>
        <w:pStyle w:val="H2"/>
        <w:keepNext w:val="0"/>
        <w:pBdr>
          <w:bottom w:val="single" w:sz="6" w:space="1" w:color="auto"/>
        </w:pBdr>
        <w:outlineLvl w:val="0"/>
        <w:rPr>
          <w:sz w:val="28"/>
        </w:rPr>
      </w:pPr>
      <w:r w:rsidRPr="009D0D03">
        <w:rPr>
          <w:sz w:val="28"/>
        </w:rPr>
        <w:t>the</w:t>
      </w:r>
      <w:r w:rsidRPr="00B71607">
        <w:rPr>
          <w:sz w:val="28"/>
        </w:rPr>
        <w:t xml:space="preserve"> </w:t>
      </w:r>
      <w:r>
        <w:rPr>
          <w:sz w:val="28"/>
        </w:rPr>
        <w:t>B</w:t>
      </w:r>
      <w:r w:rsidRPr="009D0D03">
        <w:rPr>
          <w:sz w:val="28"/>
        </w:rPr>
        <w:t>ody</w:t>
      </w:r>
      <w:r w:rsidRPr="00B71607">
        <w:rPr>
          <w:sz w:val="28"/>
        </w:rPr>
        <w:t xml:space="preserve"> </w:t>
      </w:r>
      <w:r w:rsidRPr="009D0D03">
        <w:rPr>
          <w:sz w:val="28"/>
        </w:rPr>
        <w:t>of</w:t>
      </w:r>
      <w:r w:rsidRPr="00B71607">
        <w:rPr>
          <w:sz w:val="28"/>
        </w:rPr>
        <w:t xml:space="preserve"> </w:t>
      </w:r>
      <w:r w:rsidRPr="009D0D03">
        <w:rPr>
          <w:sz w:val="28"/>
        </w:rPr>
        <w:t>the</w:t>
      </w:r>
      <w:r w:rsidRPr="00B71607">
        <w:rPr>
          <w:sz w:val="28"/>
        </w:rPr>
        <w:t xml:space="preserve"> </w:t>
      </w:r>
      <w:r>
        <w:rPr>
          <w:sz w:val="28"/>
        </w:rPr>
        <w:t>P</w:t>
      </w:r>
      <w:r w:rsidRPr="009D0D03">
        <w:rPr>
          <w:sz w:val="28"/>
        </w:rPr>
        <w:t>aper</w:t>
      </w:r>
      <w:r w:rsidRPr="00B71607">
        <w:rPr>
          <w:sz w:val="28"/>
        </w:rPr>
        <w:t xml:space="preserve"> </w:t>
      </w:r>
      <w:r>
        <w:rPr>
          <w:sz w:val="28"/>
        </w:rPr>
        <w:t>(TBA)</w:t>
      </w:r>
      <w:r w:rsidRPr="009D0D03">
        <w:rPr>
          <w:sz w:val="28"/>
        </w:rPr>
        <w:t>.</w:t>
      </w:r>
    </w:p>
    <w:p w:rsidR="0045008F" w:rsidRPr="00A948AB" w:rsidRDefault="0045008F" w:rsidP="0045008F">
      <w:pPr>
        <w:pStyle w:val="Heading2"/>
      </w:pPr>
      <w:r w:rsidRPr="00A948AB">
        <w:lastRenderedPageBreak/>
        <w:t>References</w:t>
      </w:r>
    </w:p>
    <w:p w:rsidR="0045008F" w:rsidRPr="00A948AB" w:rsidRDefault="0045008F" w:rsidP="0045008F">
      <w:pPr>
        <w:pStyle w:val="reference"/>
      </w:pPr>
      <w:r w:rsidRPr="00A948AB">
        <w:rPr>
          <w:color w:val="000000"/>
        </w:rPr>
        <w:t xml:space="preserve">Davidson, Paul. 1992. </w:t>
      </w:r>
      <w:r w:rsidRPr="00A948AB">
        <w:t>Would Keynes Be A new Keynesian?</w:t>
      </w:r>
      <w:r w:rsidRPr="00A948AB">
        <w:rPr>
          <w:i/>
        </w:rPr>
        <w:t xml:space="preserve"> Eastern Economic Journal</w:t>
      </w:r>
      <w:r w:rsidRPr="00A948AB">
        <w:t>,18</w:t>
      </w:r>
      <w:r>
        <w:t>(</w:t>
      </w:r>
      <w:r w:rsidRPr="00A948AB">
        <w:t>4</w:t>
      </w:r>
      <w:r>
        <w:t>)</w:t>
      </w:r>
      <w:r w:rsidRPr="00A948AB">
        <w:t xml:space="preserve"> Fall</w:t>
      </w:r>
      <w:r>
        <w:t>:</w:t>
      </w:r>
      <w:r w:rsidRPr="00A948AB">
        <w:t xml:space="preserve"> 449-463</w:t>
      </w:r>
      <w:r>
        <w:t>.</w:t>
      </w:r>
      <w:r w:rsidRPr="00A948AB">
        <w:t xml:space="preserve"> </w:t>
      </w:r>
    </w:p>
    <w:p w:rsidR="0045008F" w:rsidRPr="00B032D2" w:rsidRDefault="0045008F" w:rsidP="0045008F">
      <w:pPr>
        <w:pStyle w:val="reference"/>
        <w:rPr>
          <w:b/>
        </w:rPr>
      </w:pPr>
      <w:r w:rsidRPr="004C0DDA">
        <w:rPr>
          <w:color w:val="000000"/>
        </w:rPr>
        <w:t>Devine</w:t>
      </w:r>
      <w:r w:rsidRPr="00B032D2">
        <w:t>, J</w:t>
      </w:r>
      <w:r>
        <w:t>ames</w:t>
      </w:r>
      <w:r w:rsidRPr="00B032D2">
        <w:t>. 1980</w:t>
      </w:r>
      <w:r>
        <w:t xml:space="preserve">. </w:t>
      </w:r>
      <w:r w:rsidRPr="00F174F9">
        <w:rPr>
          <w:i/>
        </w:rPr>
        <w:t>Over-Investment and Cyclical Economic Crises</w:t>
      </w:r>
      <w:r>
        <w:t>,</w:t>
      </w:r>
      <w:r w:rsidRPr="00B032D2">
        <w:t xml:space="preserve"> </w:t>
      </w:r>
      <w:proofErr w:type="spellStart"/>
      <w:r>
        <w:t>unpubl</w:t>
      </w:r>
      <w:proofErr w:type="spellEnd"/>
      <w:r>
        <w:t>.</w:t>
      </w:r>
      <w:r w:rsidRPr="00B032D2">
        <w:t xml:space="preserve"> Ph.D. diss</w:t>
      </w:r>
      <w:r>
        <w:t>.</w:t>
      </w:r>
      <w:r w:rsidRPr="00B032D2">
        <w:t>, Ec</w:t>
      </w:r>
      <w:r w:rsidRPr="00B032D2">
        <w:t>o</w:t>
      </w:r>
      <w:r w:rsidRPr="00B032D2">
        <w:t>nomics</w:t>
      </w:r>
      <w:r>
        <w:t>,</w:t>
      </w:r>
      <w:r w:rsidRPr="00B032D2">
        <w:t xml:space="preserve"> U</w:t>
      </w:r>
      <w:r>
        <w:t>.</w:t>
      </w:r>
      <w:r w:rsidRPr="00B032D2">
        <w:t>C</w:t>
      </w:r>
      <w:r>
        <w:t>.</w:t>
      </w:r>
      <w:r w:rsidRPr="00B032D2">
        <w:t>-Berkeley</w:t>
      </w:r>
      <w:r>
        <w:t>,</w:t>
      </w:r>
      <w:r w:rsidRPr="00B032D2">
        <w:t xml:space="preserve"> </w:t>
      </w:r>
      <w:hyperlink r:id="rId13" w:history="1">
        <w:r w:rsidRPr="00F174F9">
          <w:rPr>
            <w:rStyle w:val="Hyperlink"/>
            <w:rFonts w:eastAsiaTheme="majorEastAsia"/>
            <w:i/>
          </w:rPr>
          <w:t>http://myweb.lmu.edu/jdevine/dissertation/Dissertation.htm</w:t>
        </w:r>
      </w:hyperlink>
      <w:r w:rsidRPr="00B032D2">
        <w:t>.</w:t>
      </w:r>
      <w:r>
        <w:t xml:space="preserve"> </w:t>
      </w:r>
    </w:p>
    <w:p w:rsidR="0045008F" w:rsidRDefault="0045008F" w:rsidP="0045008F">
      <w:pPr>
        <w:pStyle w:val="reference"/>
      </w:pPr>
      <w:r w:rsidRPr="00354D40">
        <w:t xml:space="preserve">Domar, </w:t>
      </w:r>
      <w:proofErr w:type="spellStart"/>
      <w:r w:rsidRPr="00354D40">
        <w:t>Evsey</w:t>
      </w:r>
      <w:proofErr w:type="spellEnd"/>
      <w:r w:rsidRPr="00354D40">
        <w:t xml:space="preserve">. 1946. Expansion, Rate of Growth, and Employment. </w:t>
      </w:r>
      <w:proofErr w:type="spellStart"/>
      <w:r w:rsidRPr="00354D40">
        <w:rPr>
          <w:i/>
        </w:rPr>
        <w:t>Econometrica</w:t>
      </w:r>
      <w:proofErr w:type="spellEnd"/>
      <w:r w:rsidRPr="00354D40">
        <w:t>. 14(2) April: 137-47.</w:t>
      </w:r>
    </w:p>
    <w:p w:rsidR="0045008F" w:rsidRDefault="0045008F" w:rsidP="0045008F">
      <w:pPr>
        <w:pStyle w:val="reference"/>
      </w:pPr>
      <w:r>
        <w:t xml:space="preserve">Evans, George. 1983. </w:t>
      </w:r>
      <w:r w:rsidRPr="00903212">
        <w:t>The Stability of Rational Expectations in Macroeconomic Models</w:t>
      </w:r>
      <w:r>
        <w:t>. I</w:t>
      </w:r>
      <w:r w:rsidRPr="00903212">
        <w:t xml:space="preserve">n </w:t>
      </w:r>
      <w:r>
        <w:t xml:space="preserve">R. </w:t>
      </w:r>
      <w:proofErr w:type="spellStart"/>
      <w:r>
        <w:t>Frydman</w:t>
      </w:r>
      <w:proofErr w:type="spellEnd"/>
      <w:r>
        <w:t xml:space="preserve"> and E. S. Phelps (eds.), </w:t>
      </w:r>
      <w:r w:rsidRPr="00903212">
        <w:rPr>
          <w:i/>
        </w:rPr>
        <w:t>Individual Forecasting and Aggregate Outcomes</w:t>
      </w:r>
      <w:r w:rsidRPr="00903212">
        <w:t xml:space="preserve">: </w:t>
      </w:r>
      <w:r w:rsidRPr="00903212">
        <w:rPr>
          <w:i/>
        </w:rPr>
        <w:t>"Rational Expectations" Examined</w:t>
      </w:r>
      <w:r>
        <w:t xml:space="preserve">. </w:t>
      </w:r>
      <w:r w:rsidRPr="00903212">
        <w:t>Cambridge U</w:t>
      </w:r>
      <w:r>
        <w:t>.</w:t>
      </w:r>
      <w:r w:rsidRPr="00903212">
        <w:t>P</w:t>
      </w:r>
      <w:r>
        <w:t>.:</w:t>
      </w:r>
      <w:r w:rsidRPr="00903212">
        <w:t xml:space="preserve"> 69-94.</w:t>
      </w:r>
    </w:p>
    <w:p w:rsidR="0045008F" w:rsidRDefault="0045008F" w:rsidP="0045008F">
      <w:pPr>
        <w:pStyle w:val="reference"/>
      </w:pPr>
      <w:r>
        <w:t xml:space="preserve">Fisher, Irving. 1933. The Debt-Deflation Theory of Great Depressions. </w:t>
      </w:r>
      <w:proofErr w:type="spellStart"/>
      <w:r w:rsidRPr="00B57949">
        <w:rPr>
          <w:i/>
        </w:rPr>
        <w:t>Econometrica</w:t>
      </w:r>
      <w:proofErr w:type="spellEnd"/>
      <w:r>
        <w:t>, 1(4) Oct.: 337-357.</w:t>
      </w:r>
    </w:p>
    <w:p w:rsidR="0045008F" w:rsidRDefault="0045008F" w:rsidP="0045008F">
      <w:pPr>
        <w:pStyle w:val="reference"/>
        <w:rPr>
          <w:iCs/>
        </w:rPr>
      </w:pPr>
      <w:r>
        <w:rPr>
          <w:iCs/>
        </w:rPr>
        <w:t>Friedman, Milton. 1968. The Role of Monetary Policy.</w:t>
      </w:r>
      <w:r w:rsidRPr="006F5272">
        <w:rPr>
          <w:iCs/>
        </w:rPr>
        <w:t xml:space="preserve"> </w:t>
      </w:r>
      <w:r w:rsidRPr="006F5272">
        <w:rPr>
          <w:i/>
          <w:iCs/>
        </w:rPr>
        <w:t>American Economic Review</w:t>
      </w:r>
      <w:r>
        <w:rPr>
          <w:iCs/>
        </w:rPr>
        <w:t>.</w:t>
      </w:r>
      <w:r w:rsidRPr="006F5272">
        <w:rPr>
          <w:iCs/>
        </w:rPr>
        <w:t xml:space="preserve"> 58</w:t>
      </w:r>
      <w:r>
        <w:rPr>
          <w:iCs/>
        </w:rPr>
        <w:t>(</w:t>
      </w:r>
      <w:r w:rsidRPr="006F5272">
        <w:rPr>
          <w:iCs/>
        </w:rPr>
        <w:t>1</w:t>
      </w:r>
      <w:r>
        <w:rPr>
          <w:iCs/>
        </w:rPr>
        <w:t>)</w:t>
      </w:r>
      <w:r w:rsidRPr="006F5272">
        <w:rPr>
          <w:iCs/>
        </w:rPr>
        <w:t xml:space="preserve"> Mar.</w:t>
      </w:r>
      <w:r>
        <w:rPr>
          <w:iCs/>
        </w:rPr>
        <w:t>:</w:t>
      </w:r>
      <w:r w:rsidRPr="006F5272">
        <w:rPr>
          <w:iCs/>
        </w:rPr>
        <w:t xml:space="preserve"> 1–17</w:t>
      </w:r>
      <w:r>
        <w:rPr>
          <w:iCs/>
        </w:rPr>
        <w:t>.</w:t>
      </w:r>
    </w:p>
    <w:p w:rsidR="0045008F" w:rsidRPr="00863C7E" w:rsidRDefault="0045008F" w:rsidP="0045008F">
      <w:pPr>
        <w:pStyle w:val="reference"/>
        <w:rPr>
          <w:iCs/>
        </w:rPr>
      </w:pPr>
      <w:r w:rsidRPr="00B032D2">
        <w:rPr>
          <w:iCs/>
        </w:rPr>
        <w:t xml:space="preserve">Kalecki, </w:t>
      </w:r>
      <w:r>
        <w:rPr>
          <w:iCs/>
        </w:rPr>
        <w:t xml:space="preserve">Michal. 1933. Outline of a Theory of the Business Cycle. In his </w:t>
      </w:r>
      <w:r>
        <w:rPr>
          <w:i/>
          <w:iCs/>
        </w:rPr>
        <w:t>Selected Essays on the Dynamics of the Capitalist Economy</w:t>
      </w:r>
      <w:r>
        <w:rPr>
          <w:iCs/>
        </w:rPr>
        <w:t xml:space="preserve">. Cambridge: U.P. </w:t>
      </w:r>
    </w:p>
    <w:p w:rsidR="0045008F" w:rsidRDefault="0045008F" w:rsidP="0045008F">
      <w:pPr>
        <w:pStyle w:val="reference"/>
      </w:pPr>
      <w:r>
        <w:t xml:space="preserve">_______, 1937. The Principle of Increasing Risk. </w:t>
      </w:r>
      <w:proofErr w:type="spellStart"/>
      <w:r w:rsidRPr="00756B3B">
        <w:rPr>
          <w:i/>
        </w:rPr>
        <w:t>Economica</w:t>
      </w:r>
      <w:proofErr w:type="spellEnd"/>
      <w:r>
        <w:t>, N.S., 4(16) Nov.: 440-447.</w:t>
      </w:r>
    </w:p>
    <w:p w:rsidR="0045008F" w:rsidRPr="00E45FE0" w:rsidRDefault="0045008F" w:rsidP="0045008F">
      <w:pPr>
        <w:pStyle w:val="reference"/>
      </w:pPr>
      <w:r>
        <w:t xml:space="preserve">_______. </w:t>
      </w:r>
      <w:r w:rsidRPr="00B032D2">
        <w:rPr>
          <w:iCs/>
        </w:rPr>
        <w:t>1943</w:t>
      </w:r>
      <w:r>
        <w:rPr>
          <w:iCs/>
        </w:rPr>
        <w:t xml:space="preserve">. </w:t>
      </w:r>
      <w:r w:rsidRPr="00B032D2">
        <w:rPr>
          <w:iCs/>
        </w:rPr>
        <w:t xml:space="preserve">Cost </w:t>
      </w:r>
      <w:r w:rsidRPr="00E45FE0">
        <w:t>and</w:t>
      </w:r>
      <w:r w:rsidRPr="00B032D2">
        <w:rPr>
          <w:iCs/>
        </w:rPr>
        <w:t xml:space="preserve"> Prices</w:t>
      </w:r>
      <w:r>
        <w:rPr>
          <w:iCs/>
        </w:rPr>
        <w:t>. I</w:t>
      </w:r>
      <w:r w:rsidRPr="00B032D2">
        <w:rPr>
          <w:iCs/>
        </w:rPr>
        <w:t xml:space="preserve">n his </w:t>
      </w:r>
      <w:r>
        <w:rPr>
          <w:iCs/>
        </w:rPr>
        <w:t xml:space="preserve">1954 </w:t>
      </w:r>
      <w:r w:rsidRPr="00F174F9">
        <w:rPr>
          <w:i/>
          <w:iCs/>
        </w:rPr>
        <w:t>Theory of Economic Dynamics</w:t>
      </w:r>
      <w:r w:rsidRPr="00B032D2">
        <w:rPr>
          <w:iCs/>
        </w:rPr>
        <w:t xml:space="preserve">: </w:t>
      </w:r>
      <w:r w:rsidRPr="00F174F9">
        <w:rPr>
          <w:i/>
        </w:rPr>
        <w:t>an Essay on Cycl</w:t>
      </w:r>
      <w:r w:rsidRPr="00F174F9">
        <w:rPr>
          <w:i/>
        </w:rPr>
        <w:t>i</w:t>
      </w:r>
      <w:r w:rsidRPr="00F174F9">
        <w:rPr>
          <w:i/>
        </w:rPr>
        <w:t>cal and Long-Run Changes in a Capitalist Economy</w:t>
      </w:r>
      <w:r>
        <w:rPr>
          <w:iCs/>
        </w:rPr>
        <w:t>.</w:t>
      </w:r>
      <w:r w:rsidRPr="00B032D2">
        <w:t xml:space="preserve"> Allen and Unwin</w:t>
      </w:r>
      <w:r w:rsidRPr="00B032D2">
        <w:rPr>
          <w:iCs/>
        </w:rPr>
        <w:t>.</w:t>
      </w:r>
    </w:p>
    <w:p w:rsidR="0045008F" w:rsidRDefault="0045008F" w:rsidP="0045008F">
      <w:pPr>
        <w:pStyle w:val="reference"/>
      </w:pPr>
      <w:r>
        <w:t xml:space="preserve">_______. 1968. Trend and Business Cycles Reconsidered. </w:t>
      </w:r>
      <w:r w:rsidRPr="008A0100">
        <w:rPr>
          <w:i/>
        </w:rPr>
        <w:t>Economic Journal</w:t>
      </w:r>
      <w:r>
        <w:t xml:space="preserve"> 78 (June): 263-76.</w:t>
      </w:r>
    </w:p>
    <w:p w:rsidR="0045008F" w:rsidRPr="00983A5C" w:rsidRDefault="0045008F" w:rsidP="0045008F">
      <w:pPr>
        <w:pStyle w:val="reference"/>
        <w:rPr>
          <w:u w:val="single"/>
        </w:rPr>
      </w:pPr>
      <w:r>
        <w:t xml:space="preserve">Keynes, John Maynard. 1936. </w:t>
      </w:r>
      <w:r w:rsidRPr="00983A5C">
        <w:rPr>
          <w:i/>
        </w:rPr>
        <w:t>The General Theory of Employment, Interest, and Money</w:t>
      </w:r>
      <w:r>
        <w:t xml:space="preserve">. New York: Harcourt. </w:t>
      </w:r>
    </w:p>
    <w:p w:rsidR="0045008F" w:rsidRPr="00E76CCC" w:rsidRDefault="0045008F" w:rsidP="0045008F">
      <w:pPr>
        <w:pStyle w:val="reference"/>
      </w:pPr>
      <w:r w:rsidRPr="00E76CCC">
        <w:t xml:space="preserve">Hargreaves Heap, S. P. 1980. </w:t>
      </w:r>
      <w:r>
        <w:t>C</w:t>
      </w:r>
      <w:r w:rsidRPr="00E76CCC">
        <w:t>hoosing the wrong “</w:t>
      </w:r>
      <w:r w:rsidRPr="00E76CCC">
        <w:rPr>
          <w:iCs/>
        </w:rPr>
        <w:t>natural</w:t>
      </w:r>
      <w:r w:rsidRPr="00E76CCC">
        <w:t xml:space="preserve">” </w:t>
      </w:r>
      <w:r w:rsidRPr="00E76CCC">
        <w:rPr>
          <w:iCs/>
        </w:rPr>
        <w:t>rate</w:t>
      </w:r>
      <w:r w:rsidRPr="00E76CCC">
        <w:t>: Accelerating inflation or dece</w:t>
      </w:r>
      <w:r w:rsidRPr="00E76CCC">
        <w:t>l</w:t>
      </w:r>
      <w:r w:rsidRPr="00E76CCC">
        <w:t>erating employment and growth</w:t>
      </w:r>
      <w:r>
        <w:t xml:space="preserve">? </w:t>
      </w:r>
      <w:r w:rsidRPr="006C7238">
        <w:rPr>
          <w:i/>
        </w:rPr>
        <w:t>Economic Journal</w:t>
      </w:r>
      <w:r w:rsidRPr="00E76CCC">
        <w:t xml:space="preserve"> 90(359), 611-20.</w:t>
      </w:r>
    </w:p>
    <w:p w:rsidR="0045008F" w:rsidRPr="003963AC" w:rsidRDefault="0045008F" w:rsidP="0045008F">
      <w:pPr>
        <w:pStyle w:val="reference"/>
      </w:pPr>
      <w:r w:rsidRPr="003963AC">
        <w:t>Harrod, Roy F. 1939. An Essay in Dynamic Theory</w:t>
      </w:r>
      <w:r>
        <w:t>.</w:t>
      </w:r>
      <w:r w:rsidRPr="003963AC">
        <w:t xml:space="preserve"> </w:t>
      </w:r>
      <w:r w:rsidRPr="003963AC">
        <w:rPr>
          <w:i/>
        </w:rPr>
        <w:t>Economic Journal</w:t>
      </w:r>
      <w:r w:rsidRPr="003963AC">
        <w:t>, 49</w:t>
      </w:r>
      <w:r>
        <w:t>(</w:t>
      </w:r>
      <w:r w:rsidRPr="003963AC">
        <w:t>193</w:t>
      </w:r>
      <w:r>
        <w:t>)</w:t>
      </w:r>
      <w:r w:rsidRPr="003963AC">
        <w:t xml:space="preserve"> Mar</w:t>
      </w:r>
      <w:r>
        <w:t>ch:</w:t>
      </w:r>
      <w:r w:rsidRPr="003963AC">
        <w:t xml:space="preserve"> 14-33</w:t>
      </w:r>
      <w:r>
        <w:t>.</w:t>
      </w:r>
    </w:p>
    <w:p w:rsidR="0045008F" w:rsidRPr="009A3796" w:rsidRDefault="0045008F" w:rsidP="0045008F">
      <w:pPr>
        <w:pStyle w:val="reference"/>
      </w:pPr>
      <w:r>
        <w:t xml:space="preserve">Hicks, John R. 1949. Mr. Harrod’s Dynamic Theory. </w:t>
      </w:r>
      <w:proofErr w:type="spellStart"/>
      <w:r>
        <w:rPr>
          <w:i/>
        </w:rPr>
        <w:t>Economica</w:t>
      </w:r>
      <w:proofErr w:type="spellEnd"/>
      <w:r>
        <w:t xml:space="preserve">. </w:t>
      </w:r>
      <w:r w:rsidRPr="00E41DDE">
        <w:t>16 (62) May: 106-121.</w:t>
      </w:r>
    </w:p>
    <w:p w:rsidR="0045008F" w:rsidRPr="003963AC" w:rsidRDefault="0045008F" w:rsidP="0045008F">
      <w:pPr>
        <w:pStyle w:val="reference"/>
      </w:pPr>
      <w:r>
        <w:t xml:space="preserve">Hoover, Kevin. 2008. Was Harrod Right? </w:t>
      </w:r>
      <w:r w:rsidRPr="007A0510">
        <w:rPr>
          <w:rFonts w:cs="Arial"/>
          <w:i/>
          <w:iCs/>
          <w:shd w:val="clear" w:color="auto" w:fill="FFFFFF"/>
        </w:rPr>
        <w:t>CHOPE Working Paper No. 2012-01</w:t>
      </w:r>
      <w:r w:rsidRPr="007A0510">
        <w:rPr>
          <w:rStyle w:val="apple-converted-space"/>
          <w:rFonts w:cs="Tahoma"/>
          <w:i/>
          <w:szCs w:val="17"/>
          <w:shd w:val="clear" w:color="auto" w:fill="FFFFFF"/>
        </w:rPr>
        <w:t> </w:t>
      </w:r>
      <w:r>
        <w:t xml:space="preserve">at </w:t>
      </w:r>
      <w:hyperlink r:id="rId14" w:history="1">
        <w:r w:rsidRPr="00917319">
          <w:rPr>
            <w:rStyle w:val="Hyperlink"/>
            <w:rFonts w:eastAsiaTheme="majorEastAsia"/>
          </w:rPr>
          <w:t>http://papers.ssrn.com/sol3/papers.cfm?abstract_id=2001452</w:t>
        </w:r>
      </w:hyperlink>
      <w:r>
        <w:t>.</w:t>
      </w:r>
    </w:p>
    <w:p w:rsidR="0045008F" w:rsidRDefault="0045008F" w:rsidP="0045008F">
      <w:pPr>
        <w:pStyle w:val="reference"/>
      </w:pPr>
      <w:r w:rsidRPr="00E76CCC">
        <w:t xml:space="preserve">Kalecki, M. 1933. Outline of a Theory of the Business Cycle. In his 1971 </w:t>
      </w:r>
      <w:r w:rsidRPr="00F2367C">
        <w:rPr>
          <w:i/>
        </w:rPr>
        <w:t>Selected Essays on the Dynamics of the Capitalist Economy, 1933-70</w:t>
      </w:r>
      <w:r w:rsidRPr="00E76CCC">
        <w:t xml:space="preserve">. </w:t>
      </w:r>
      <w:r>
        <w:t>Cambridge:</w:t>
      </w:r>
      <w:r w:rsidRPr="00E76CCC">
        <w:t xml:space="preserve"> University Press.</w:t>
      </w:r>
    </w:p>
    <w:p w:rsidR="0045008F" w:rsidRDefault="0045008F" w:rsidP="0045008F">
      <w:pPr>
        <w:pStyle w:val="reference"/>
      </w:pPr>
      <w:r>
        <w:t xml:space="preserve">_____. </w:t>
      </w:r>
      <w:r w:rsidRPr="00F2367C">
        <w:t>1943</w:t>
      </w:r>
      <w:r>
        <w:t>.</w:t>
      </w:r>
      <w:r w:rsidRPr="00F2367C">
        <w:t xml:space="preserve"> Cost and Prices</w:t>
      </w:r>
      <w:r>
        <w:t>.</w:t>
      </w:r>
      <w:r w:rsidRPr="00F2367C">
        <w:t xml:space="preserve"> </w:t>
      </w:r>
      <w:r>
        <w:t>I</w:t>
      </w:r>
      <w:r w:rsidRPr="00F2367C">
        <w:t>n his (1954)</w:t>
      </w:r>
      <w:r>
        <w:t xml:space="preserve"> </w:t>
      </w:r>
      <w:r w:rsidRPr="00F2367C">
        <w:rPr>
          <w:i/>
        </w:rPr>
        <w:t>Theory of Economic Dynamics: an Essay on Cyclical and Long-Run Changes in a Capitalist Economy</w:t>
      </w:r>
      <w:r w:rsidRPr="00F2367C">
        <w:t>, Allen and Unwin.</w:t>
      </w:r>
    </w:p>
    <w:p w:rsidR="0045008F" w:rsidRDefault="0045008F" w:rsidP="0045008F">
      <w:pPr>
        <w:pStyle w:val="reference"/>
      </w:pPr>
      <w:r>
        <w:t xml:space="preserve">____. 1968. Trend and Business Cycles Reconsidered. </w:t>
      </w:r>
      <w:r w:rsidRPr="008A0100">
        <w:rPr>
          <w:i/>
        </w:rPr>
        <w:t>Economic Journal</w:t>
      </w:r>
      <w:r>
        <w:t xml:space="preserve"> 78 (June): 263-76.</w:t>
      </w:r>
    </w:p>
    <w:p w:rsidR="0045008F" w:rsidRPr="00746B9A" w:rsidRDefault="0045008F" w:rsidP="0045008F">
      <w:pPr>
        <w:pStyle w:val="reference"/>
      </w:pPr>
      <w:proofErr w:type="spellStart"/>
      <w:r w:rsidRPr="008C63CF">
        <w:rPr>
          <w:color w:val="000000"/>
        </w:rPr>
        <w:t>Leijonhufvud</w:t>
      </w:r>
      <w:proofErr w:type="spellEnd"/>
      <w:r w:rsidRPr="008C63CF">
        <w:rPr>
          <w:color w:val="000000"/>
        </w:rPr>
        <w:t>, Axel</w:t>
      </w:r>
      <w:r>
        <w:rPr>
          <w:color w:val="000000"/>
        </w:rPr>
        <w:t>. 1973.</w:t>
      </w:r>
      <w:r w:rsidRPr="008C63CF">
        <w:rPr>
          <w:color w:val="000000"/>
        </w:rPr>
        <w:t xml:space="preserve"> Effective Demand Failures</w:t>
      </w:r>
      <w:r>
        <w:rPr>
          <w:color w:val="000000"/>
        </w:rPr>
        <w:t>.</w:t>
      </w:r>
      <w:r w:rsidRPr="008C63CF">
        <w:rPr>
          <w:color w:val="000000"/>
        </w:rPr>
        <w:t xml:space="preserve"> </w:t>
      </w:r>
      <w:r w:rsidRPr="008C63CF">
        <w:rPr>
          <w:i/>
          <w:color w:val="000000"/>
        </w:rPr>
        <w:t>Swedish Journal of Economics</w:t>
      </w:r>
      <w:r>
        <w:rPr>
          <w:color w:val="000000"/>
        </w:rPr>
        <w:t>.</w:t>
      </w:r>
      <w:r w:rsidRPr="008C63CF">
        <w:rPr>
          <w:color w:val="000000"/>
        </w:rPr>
        <w:t xml:space="preserve"> </w:t>
      </w:r>
      <w:r>
        <w:rPr>
          <w:color w:val="000000"/>
        </w:rPr>
        <w:t>7</w:t>
      </w:r>
      <w:r w:rsidRPr="008C63CF">
        <w:rPr>
          <w:color w:val="000000"/>
        </w:rPr>
        <w:t>5</w:t>
      </w:r>
      <w:r>
        <w:rPr>
          <w:color w:val="000000"/>
        </w:rPr>
        <w:t>(</w:t>
      </w:r>
      <w:r w:rsidRPr="008C63CF">
        <w:rPr>
          <w:color w:val="000000"/>
        </w:rPr>
        <w:t>1</w:t>
      </w:r>
      <w:r>
        <w:rPr>
          <w:color w:val="000000"/>
        </w:rPr>
        <w:t>)</w:t>
      </w:r>
      <w:r w:rsidRPr="008C63CF">
        <w:rPr>
          <w:color w:val="000000"/>
        </w:rPr>
        <w:t xml:space="preserve"> Mar.</w:t>
      </w:r>
      <w:r>
        <w:rPr>
          <w:color w:val="000000"/>
        </w:rPr>
        <w:t>:</w:t>
      </w:r>
      <w:r w:rsidRPr="008C63CF">
        <w:rPr>
          <w:color w:val="000000"/>
        </w:rPr>
        <w:t xml:space="preserve"> 27–48</w:t>
      </w:r>
      <w:r>
        <w:rPr>
          <w:color w:val="000000"/>
        </w:rPr>
        <w:t>.</w:t>
      </w:r>
    </w:p>
    <w:p w:rsidR="0045008F" w:rsidRDefault="0045008F" w:rsidP="0045008F">
      <w:pPr>
        <w:pStyle w:val="reference"/>
        <w:rPr>
          <w:color w:val="000000"/>
        </w:rPr>
      </w:pPr>
      <w:r>
        <w:rPr>
          <w:color w:val="000000"/>
        </w:rPr>
        <w:t>Abba P. Lerner. 1951.</w:t>
      </w:r>
      <w:r w:rsidRPr="00602C0F">
        <w:rPr>
          <w:color w:val="000000"/>
        </w:rPr>
        <w:t xml:space="preserve"> </w:t>
      </w:r>
      <w:r w:rsidRPr="00602C0F">
        <w:rPr>
          <w:i/>
          <w:color w:val="000000"/>
        </w:rPr>
        <w:t>Economics of Employment</w:t>
      </w:r>
      <w:r>
        <w:rPr>
          <w:i/>
          <w:color w:val="000000"/>
        </w:rPr>
        <w:t xml:space="preserve">. </w:t>
      </w:r>
      <w:r>
        <w:rPr>
          <w:color w:val="000000"/>
        </w:rPr>
        <w:t>New York:</w:t>
      </w:r>
      <w:r w:rsidRPr="00602C0F">
        <w:rPr>
          <w:color w:val="000000"/>
        </w:rPr>
        <w:t xml:space="preserve"> McGraw-Hill.</w:t>
      </w:r>
    </w:p>
    <w:p w:rsidR="0045008F" w:rsidRDefault="0045008F" w:rsidP="0045008F">
      <w:pPr>
        <w:pStyle w:val="reference"/>
        <w:rPr>
          <w:color w:val="000000"/>
        </w:rPr>
      </w:pPr>
      <w:r>
        <w:rPr>
          <w:color w:val="000000"/>
        </w:rPr>
        <w:t xml:space="preserve">Robinson, Joan. 1980. Time in Economic Theory. </w:t>
      </w:r>
      <w:proofErr w:type="spellStart"/>
      <w:r>
        <w:rPr>
          <w:i/>
          <w:color w:val="000000"/>
        </w:rPr>
        <w:t>Kyklos</w:t>
      </w:r>
      <w:proofErr w:type="spellEnd"/>
      <w:r>
        <w:rPr>
          <w:color w:val="000000"/>
        </w:rPr>
        <w:t>. 33(2) 219-339.</w:t>
      </w:r>
    </w:p>
    <w:p w:rsidR="0045008F" w:rsidRPr="00345E8F" w:rsidRDefault="0045008F" w:rsidP="0045008F">
      <w:pPr>
        <w:pStyle w:val="reference"/>
        <w:rPr>
          <w:color w:val="000000"/>
        </w:rPr>
      </w:pPr>
      <w:r w:rsidRPr="00345E8F">
        <w:rPr>
          <w:color w:val="000000"/>
        </w:rPr>
        <w:lastRenderedPageBreak/>
        <w:t>Samuelson, Paul A. 1939. Interactions between the Multiplier Analysis and the Principle of A</w:t>
      </w:r>
      <w:r w:rsidRPr="00345E8F">
        <w:rPr>
          <w:color w:val="000000"/>
        </w:rPr>
        <w:t>c</w:t>
      </w:r>
      <w:r w:rsidRPr="00345E8F">
        <w:rPr>
          <w:color w:val="000000"/>
        </w:rPr>
        <w:t>celeration</w:t>
      </w:r>
      <w:r>
        <w:rPr>
          <w:color w:val="000000"/>
        </w:rPr>
        <w:t>.</w:t>
      </w:r>
      <w:r w:rsidRPr="00345E8F">
        <w:rPr>
          <w:color w:val="000000"/>
        </w:rPr>
        <w:t xml:space="preserve"> </w:t>
      </w:r>
      <w:r w:rsidRPr="00345E8F">
        <w:rPr>
          <w:i/>
          <w:color w:val="000000"/>
        </w:rPr>
        <w:t>Review of Economics and Statistics</w:t>
      </w:r>
      <w:r w:rsidRPr="00345E8F">
        <w:rPr>
          <w:color w:val="000000"/>
        </w:rPr>
        <w:t>, 21</w:t>
      </w:r>
      <w:r>
        <w:rPr>
          <w:color w:val="000000"/>
        </w:rPr>
        <w:t>(2)May: 75-78.</w:t>
      </w:r>
    </w:p>
    <w:p w:rsidR="0045008F" w:rsidRDefault="00B634AF" w:rsidP="0045008F">
      <w:pPr>
        <w:pStyle w:val="reference"/>
      </w:pPr>
      <w:r>
        <w:t>_____</w:t>
      </w:r>
      <w:r w:rsidR="0045008F">
        <w:t xml:space="preserve">. 1966. A Summing Up. </w:t>
      </w:r>
      <w:r w:rsidR="0045008F" w:rsidRPr="00E91D01">
        <w:rPr>
          <w:i/>
        </w:rPr>
        <w:t>Quarterly Journal of Economics</w:t>
      </w:r>
      <w:r w:rsidR="0045008F">
        <w:t>, 80(4) Nov.: 568-583.</w:t>
      </w:r>
    </w:p>
    <w:p w:rsidR="0045008F" w:rsidRPr="007A0510" w:rsidRDefault="0045008F" w:rsidP="0045008F">
      <w:pPr>
        <w:pStyle w:val="reference"/>
      </w:pPr>
      <w:r>
        <w:t xml:space="preserve">Sen, </w:t>
      </w:r>
      <w:r w:rsidRPr="00F2367C">
        <w:t>Amartya</w:t>
      </w:r>
      <w:r>
        <w:t xml:space="preserve">. 1970. Introduction to A.K. Sen (ed.) </w:t>
      </w:r>
      <w:r>
        <w:rPr>
          <w:i/>
        </w:rPr>
        <w:t>Growth Economics</w:t>
      </w:r>
      <w:r>
        <w:t xml:space="preserve"> (1970). Penguin. </w:t>
      </w:r>
    </w:p>
    <w:p w:rsidR="0045008F" w:rsidRDefault="0045008F" w:rsidP="0045008F">
      <w:pPr>
        <w:pStyle w:val="reference"/>
        <w:rPr>
          <w:sz w:val="22"/>
        </w:rPr>
      </w:pPr>
      <w:r>
        <w:t xml:space="preserve">Solow, Robert M. 1956. A Contribution to the Theory of Economic Growth. </w:t>
      </w:r>
      <w:r w:rsidRPr="00354D40">
        <w:rPr>
          <w:i/>
        </w:rPr>
        <w:t>Quarterly Jou</w:t>
      </w:r>
      <w:r w:rsidRPr="00354D40">
        <w:rPr>
          <w:i/>
        </w:rPr>
        <w:t>r</w:t>
      </w:r>
      <w:r w:rsidRPr="00354D40">
        <w:rPr>
          <w:i/>
        </w:rPr>
        <w:t>nal of Economics</w:t>
      </w:r>
      <w:r>
        <w:t xml:space="preserve">. </w:t>
      </w:r>
      <w:r>
        <w:rPr>
          <w:sz w:val="22"/>
        </w:rPr>
        <w:t xml:space="preserve">70(1) February: 65-94. </w:t>
      </w:r>
    </w:p>
    <w:p w:rsidR="00B634AF" w:rsidRDefault="00B634AF" w:rsidP="0045008F">
      <w:pPr>
        <w:pStyle w:val="reference"/>
      </w:pPr>
      <w:r>
        <w:t xml:space="preserve">Summers, Lawrence. 2013. </w:t>
      </w:r>
      <w:r>
        <w:t>“Why</w:t>
      </w:r>
      <w:r w:rsidRPr="00B71607">
        <w:t xml:space="preserve"> </w:t>
      </w:r>
      <w:r>
        <w:t>Stagnation</w:t>
      </w:r>
      <w:r w:rsidRPr="00B71607">
        <w:t xml:space="preserve"> </w:t>
      </w:r>
      <w:r>
        <w:t>Might</w:t>
      </w:r>
      <w:r w:rsidRPr="00B71607">
        <w:t xml:space="preserve"> </w:t>
      </w:r>
      <w:r>
        <w:t>Prove</w:t>
      </w:r>
      <w:r w:rsidRPr="00B71607">
        <w:t xml:space="preserve"> </w:t>
      </w:r>
      <w:r>
        <w:t>to</w:t>
      </w:r>
      <w:r w:rsidRPr="00B71607">
        <w:t xml:space="preserve"> </w:t>
      </w:r>
      <w:r>
        <w:t>be</w:t>
      </w:r>
      <w:r w:rsidRPr="00B71607">
        <w:t xml:space="preserve"> </w:t>
      </w:r>
      <w:r>
        <w:t>the</w:t>
      </w:r>
      <w:r w:rsidRPr="00B71607">
        <w:t xml:space="preserve"> </w:t>
      </w:r>
      <w:r>
        <w:t>New</w:t>
      </w:r>
      <w:r w:rsidRPr="00B71607">
        <w:t xml:space="preserve"> </w:t>
      </w:r>
      <w:r>
        <w:t>Normal”</w:t>
      </w:r>
      <w:r w:rsidRPr="00B71607">
        <w:t xml:space="preserve"> </w:t>
      </w:r>
      <w:r>
        <w:t>at</w:t>
      </w:r>
      <w:r w:rsidRPr="00B71607">
        <w:t xml:space="preserve"> </w:t>
      </w:r>
      <w:hyperlink r:id="rId15" w:history="1">
        <w:r w:rsidRPr="00F501ED">
          <w:rPr>
            <w:rStyle w:val="Hyperlink"/>
          </w:rPr>
          <w:t>http://larrysummers.com/2013/12/15/why-stagnation-might-prove-to-be-the-new-normal/</w:t>
        </w:r>
      </w:hyperlink>
      <w:r>
        <w:t>.</w:t>
      </w:r>
    </w:p>
    <w:p w:rsidR="0045008F" w:rsidRPr="000034E4" w:rsidRDefault="0045008F" w:rsidP="0045008F">
      <w:pPr>
        <w:pStyle w:val="reference"/>
      </w:pPr>
      <w:r>
        <w:t>Tobin, James.</w:t>
      </w:r>
      <w:r w:rsidRPr="000034E4">
        <w:t xml:space="preserve"> 1975</w:t>
      </w:r>
      <w:r>
        <w:t xml:space="preserve">. </w:t>
      </w:r>
      <w:r w:rsidRPr="000034E4">
        <w:t>Keynesian Models of Recession and Depression</w:t>
      </w:r>
      <w:r>
        <w:t xml:space="preserve">. </w:t>
      </w:r>
      <w:r w:rsidRPr="000034E4">
        <w:rPr>
          <w:i/>
        </w:rPr>
        <w:t>American Economic R</w:t>
      </w:r>
      <w:r w:rsidRPr="000034E4">
        <w:rPr>
          <w:i/>
        </w:rPr>
        <w:t>e</w:t>
      </w:r>
      <w:r w:rsidRPr="000034E4">
        <w:rPr>
          <w:i/>
        </w:rPr>
        <w:t>view</w:t>
      </w:r>
      <w:r w:rsidRPr="000034E4">
        <w:t>,</w:t>
      </w:r>
      <w:r>
        <w:t xml:space="preserve"> </w:t>
      </w:r>
      <w:r w:rsidRPr="000034E4">
        <w:t>65</w:t>
      </w:r>
      <w:r>
        <w:t xml:space="preserve"> (2) </w:t>
      </w:r>
      <w:r w:rsidRPr="000034E4">
        <w:t>May</w:t>
      </w:r>
      <w:r>
        <w:t>:</w:t>
      </w:r>
      <w:r w:rsidRPr="000034E4">
        <w:t xml:space="preserve"> pp. 195-202</w:t>
      </w:r>
      <w:r>
        <w:t>.</w:t>
      </w:r>
    </w:p>
    <w:p w:rsidR="0045008F" w:rsidRDefault="0045008F" w:rsidP="0045008F">
      <w:pPr>
        <w:pStyle w:val="reference"/>
      </w:pPr>
      <w:r>
        <w:t xml:space="preserve">U.S. </w:t>
      </w:r>
      <w:r w:rsidRPr="00DF6FF1">
        <w:t>Council of Economic Advisors</w:t>
      </w:r>
      <w:r>
        <w:t xml:space="preserve">, 2012. </w:t>
      </w:r>
      <w:r w:rsidRPr="00CE1951">
        <w:rPr>
          <w:u w:val="single"/>
        </w:rPr>
        <w:t>Economic Report of the President</w:t>
      </w:r>
      <w:r>
        <w:t>:</w:t>
      </w:r>
      <w:r w:rsidRPr="00CE1951">
        <w:t xml:space="preserve"> 39-40</w:t>
      </w:r>
      <w:r>
        <w:t>.</w:t>
      </w:r>
    </w:p>
    <w:p w:rsidR="006E0645" w:rsidRDefault="006E0645" w:rsidP="006E0645"/>
    <w:p w:rsidR="006E0645" w:rsidRDefault="006E0645" w:rsidP="006E0645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92438">
        <w:rPr>
          <w:noProof/>
        </w:rPr>
        <w:t>1</w:t>
      </w:r>
      <w:r>
        <w:rPr>
          <w:noProof/>
        </w:rPr>
        <w:fldChar w:fldCharType="end"/>
      </w:r>
      <w:r>
        <w:t>: Summary of Symbols Used.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6E0645" w:rsidTr="00A335F5">
        <w:tc>
          <w:tcPr>
            <w:tcW w:w="9350" w:type="dxa"/>
            <w:gridSpan w:val="2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absolute numbers (levels).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quantity of Real NNP demanded.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quantity of real NNP supplied (production).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Capacity-or capital goods-constrained real NNP (at </w:t>
            </w:r>
            <w:r w:rsidRPr="00705D15">
              <w:rPr>
                <w:b/>
                <w:i/>
                <w:sz w:val="20"/>
                <w:szCs w:val="20"/>
              </w:rPr>
              <w:t>y</w:t>
            </w:r>
            <w:r w:rsidRPr="00705D15">
              <w:rPr>
                <w:sz w:val="20"/>
                <w:szCs w:val="20"/>
              </w:rPr>
              <w:t xml:space="preserve">  = 1). 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Labor-power constrained real NNP (i.e., at full employment, with </w:t>
            </w:r>
            <w:r w:rsidRPr="00705D15">
              <w:rPr>
                <w:b/>
                <w:i/>
                <w:sz w:val="20"/>
                <w:szCs w:val="20"/>
              </w:rPr>
              <w:t>e</w:t>
            </w:r>
            <w:r w:rsidRPr="00705D15">
              <w:rPr>
                <w:sz w:val="20"/>
                <w:szCs w:val="20"/>
              </w:rPr>
              <w:t xml:space="preserve"> = 1).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 stock of fixed capital goods (assumed homogeneous and move in step with the stock of d</w:t>
            </w:r>
            <w:r w:rsidRPr="00705D15">
              <w:rPr>
                <w:sz w:val="20"/>
                <w:szCs w:val="20"/>
              </w:rPr>
              <w:t>e</w:t>
            </w:r>
            <w:r w:rsidRPr="00705D15">
              <w:rPr>
                <w:sz w:val="20"/>
                <w:szCs w:val="20"/>
              </w:rPr>
              <w:t>sired inventories).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mallCaps/>
                <w:sz w:val="20"/>
                <w:szCs w:val="20"/>
                <w:vertAlign w:val="superscript"/>
              </w:rPr>
            </w:pPr>
            <w:proofErr w:type="spellStart"/>
            <w:r w:rsidRPr="00705D15">
              <w:rPr>
                <w:b/>
                <w:sz w:val="20"/>
                <w:szCs w:val="20"/>
              </w:rPr>
              <w:t>K</w:t>
            </w:r>
            <w:r w:rsidRPr="00705D15">
              <w:rPr>
                <w:b/>
                <w:smallCap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desired capital stock.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mallCaps/>
                <w:sz w:val="20"/>
                <w:szCs w:val="20"/>
                <w:vertAlign w:val="subscript"/>
              </w:rPr>
            </w:pPr>
            <w:r w:rsidRPr="00705D1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Net investment in fixed capital goods = ∆</w:t>
            </w:r>
            <w:r w:rsidRPr="00705D15">
              <w:rPr>
                <w:b/>
                <w:sz w:val="20"/>
                <w:szCs w:val="20"/>
              </w:rPr>
              <w:t>K</w:t>
            </w:r>
            <w:r w:rsidRPr="00705D15">
              <w:rPr>
                <w:sz w:val="20"/>
                <w:szCs w:val="20"/>
              </w:rPr>
              <w:t>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mallCaps/>
                <w:sz w:val="20"/>
                <w:szCs w:val="20"/>
                <w:vertAlign w:val="superscript"/>
              </w:rPr>
            </w:pPr>
            <w:r w:rsidRPr="00705D15">
              <w:rPr>
                <w:b/>
                <w:sz w:val="20"/>
                <w:szCs w:val="20"/>
              </w:rPr>
              <w:t>I</w:t>
            </w:r>
            <w:r w:rsidRPr="00705D15">
              <w:rPr>
                <w:b/>
                <w:smallCap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desired flow of net investment.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level of net saving = </w:t>
            </w:r>
            <w:proofErr w:type="spellStart"/>
            <w:r w:rsidRPr="00705D15">
              <w:rPr>
                <w:b/>
                <w:i/>
                <w:sz w:val="20"/>
                <w:szCs w:val="20"/>
              </w:rPr>
              <w:t>s</w:t>
            </w:r>
            <w:r w:rsidRPr="00705D15">
              <w:rPr>
                <w:sz w:val="20"/>
                <w:szCs w:val="20"/>
              </w:rPr>
              <w:t>·</w:t>
            </w:r>
            <w:r w:rsidRPr="00705D15">
              <w:rPr>
                <w:b/>
                <w:sz w:val="20"/>
                <w:szCs w:val="20"/>
              </w:rPr>
              <w:t>Y</w:t>
            </w:r>
            <w:proofErr w:type="spellEnd"/>
            <w:r w:rsidRPr="00705D15">
              <w:rPr>
                <w:sz w:val="20"/>
                <w:szCs w:val="20"/>
              </w:rPr>
              <w:t xml:space="preserve">. 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b/>
                <w:smallCaps/>
                <w:sz w:val="20"/>
                <w:szCs w:val="20"/>
                <w:vertAlign w:val="subscript"/>
              </w:rPr>
            </w:pPr>
            <w:r w:rsidRPr="00705D15">
              <w:rPr>
                <w:sz w:val="20"/>
                <w:szCs w:val="20"/>
              </w:rPr>
              <w:t xml:space="preserve">the available labor force = (1 – </w:t>
            </w:r>
            <w:proofErr w:type="spellStart"/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>)·</w:t>
            </w:r>
            <w:r w:rsidRPr="00705D15">
              <w:rPr>
                <w:b/>
                <w:sz w:val="20"/>
                <w:szCs w:val="20"/>
              </w:rPr>
              <w:t>N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p</w:t>
            </w:r>
          </w:p>
        </w:tc>
      </w:tr>
      <w:tr w:rsidR="006E0645" w:rsidTr="00A335F5">
        <w:tc>
          <w:tcPr>
            <w:tcW w:w="9350" w:type="dxa"/>
            <w:gridSpan w:val="2"/>
            <w:vAlign w:val="center"/>
          </w:tcPr>
          <w:p w:rsidR="006E0645" w:rsidRPr="00705D15" w:rsidRDefault="006E0645" w:rsidP="006E0645">
            <w:pPr>
              <w:keepNext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ratios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705D15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accumulation rate, investment as a percentage of full-capacity output (</w:t>
            </w:r>
            <w:r w:rsidRPr="00705D15">
              <w:rPr>
                <w:b/>
                <w:sz w:val="20"/>
                <w:szCs w:val="20"/>
              </w:rPr>
              <w:t>I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Z</w:t>
            </w:r>
            <w:r w:rsidRPr="00705D15">
              <w:rPr>
                <w:sz w:val="20"/>
                <w:szCs w:val="20"/>
              </w:rPr>
              <w:t xml:space="preserve">). 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05D15">
              <w:rPr>
                <w:b/>
                <w:i/>
                <w:sz w:val="20"/>
                <w:szCs w:val="20"/>
              </w:rPr>
              <w:t>a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Net investment as a percentage of actual output (</w:t>
            </w:r>
            <w:r w:rsidRPr="00705D15">
              <w:rPr>
                <w:b/>
                <w:sz w:val="20"/>
                <w:szCs w:val="20"/>
              </w:rPr>
              <w:t>I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Y</w:t>
            </w:r>
            <w:r w:rsidRPr="00705D15">
              <w:rPr>
                <w:sz w:val="20"/>
                <w:szCs w:val="20"/>
              </w:rPr>
              <w:t>).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capital-output ratio (Harrod’s </w:t>
            </w:r>
            <w:r w:rsidRPr="00705D15">
              <w:rPr>
                <w:b/>
                <w:i/>
                <w:sz w:val="20"/>
                <w:szCs w:val="20"/>
              </w:rPr>
              <w:t>C</w:t>
            </w:r>
            <w:r w:rsidRPr="00705D15">
              <w:rPr>
                <w:sz w:val="20"/>
                <w:szCs w:val="20"/>
              </w:rPr>
              <w:t>), capital coefficient, or ICOR.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sym w:font="Symbol" w:char="F06D"/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productivity of labor-power (</w:t>
            </w:r>
            <w:r w:rsidRPr="00705D15">
              <w:rPr>
                <w:b/>
                <w:sz w:val="20"/>
                <w:szCs w:val="20"/>
              </w:rPr>
              <w:t>F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N</w:t>
            </w:r>
            <w:r w:rsidRPr="00705D15">
              <w:rPr>
                <w:sz w:val="20"/>
                <w:szCs w:val="20"/>
              </w:rPr>
              <w:t xml:space="preserve">), as measured at </w:t>
            </w:r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sz w:val="20"/>
                <w:szCs w:val="20"/>
              </w:rPr>
              <w:t xml:space="preserve"> = </w:t>
            </w:r>
            <w:proofErr w:type="spellStart"/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>.</w:t>
            </w:r>
          </w:p>
        </w:tc>
        <w:bookmarkStart w:id="29" w:name="_GoBack"/>
        <w:bookmarkEnd w:id="29"/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saving rate (</w:t>
            </w:r>
            <w:r w:rsidRPr="00705D15">
              <w:rPr>
                <w:b/>
                <w:sz w:val="20"/>
                <w:szCs w:val="20"/>
              </w:rPr>
              <w:t>S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Y</w:t>
            </w:r>
            <w:r w:rsidRPr="00705D15">
              <w:rPr>
                <w:sz w:val="20"/>
                <w:szCs w:val="20"/>
              </w:rPr>
              <w:t xml:space="preserve">), net of </w:t>
            </w:r>
            <w:proofErr w:type="spellStart"/>
            <w:r w:rsidRPr="00705D15">
              <w:rPr>
                <w:sz w:val="20"/>
                <w:szCs w:val="20"/>
              </w:rPr>
              <w:t>deprecation</w:t>
            </w:r>
            <w:proofErr w:type="spellEnd"/>
            <w:r w:rsidRPr="00705D15">
              <w:rPr>
                <w:sz w:val="20"/>
                <w:szCs w:val="20"/>
              </w:rPr>
              <w:t>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capacity utilization rate = </w:t>
            </w:r>
            <w:r w:rsidRPr="00705D15">
              <w:rPr>
                <w:b/>
                <w:sz w:val="20"/>
                <w:szCs w:val="20"/>
              </w:rPr>
              <w:t>Y</w:t>
            </w:r>
            <w:r w:rsidRPr="00705D15">
              <w:rPr>
                <w:color w:val="000000"/>
                <w:sz w:val="20"/>
                <w:szCs w:val="20"/>
              </w:rPr>
              <w:t>/</w:t>
            </w:r>
            <w:r w:rsidRPr="00705D15">
              <w:rPr>
                <w:b/>
                <w:color w:val="000000"/>
                <w:sz w:val="20"/>
                <w:szCs w:val="20"/>
              </w:rPr>
              <w:t>Z</w:t>
            </w:r>
            <w:r w:rsidRPr="00705D15">
              <w:rPr>
                <w:sz w:val="20"/>
                <w:szCs w:val="20"/>
              </w:rPr>
              <w:t xml:space="preserve"> and equal to </w:t>
            </w:r>
            <w:r w:rsidRPr="00705D15">
              <w:rPr>
                <w:b/>
                <w:sz w:val="20"/>
                <w:szCs w:val="20"/>
              </w:rPr>
              <w:t>D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Z</w:t>
            </w:r>
            <w:r w:rsidRPr="00705D15">
              <w:rPr>
                <w:sz w:val="20"/>
                <w:szCs w:val="20"/>
              </w:rPr>
              <w:t xml:space="preserve"> in the HMR.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expected capacity utilization rate.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mallCaps/>
                <w:sz w:val="20"/>
                <w:szCs w:val="20"/>
                <w:vertAlign w:val="subscript"/>
              </w:rPr>
            </w:pPr>
            <w:proofErr w:type="spellStart"/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NAIRU = the so-called “natural” or full-employment rate of unemployment.</w:t>
            </w:r>
          </w:p>
        </w:tc>
      </w:tr>
    </w:tbl>
    <w:p w:rsidR="006E0645" w:rsidRDefault="006E0645">
      <w:pPr>
        <w:spacing w:before="0" w:after="16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6E0645" w:rsidTr="00A335F5">
        <w:tc>
          <w:tcPr>
            <w:tcW w:w="9350" w:type="dxa"/>
            <w:gridSpan w:val="2"/>
            <w:vAlign w:val="center"/>
          </w:tcPr>
          <w:p w:rsidR="006E0645" w:rsidRPr="00705D15" w:rsidRDefault="006E0645" w:rsidP="006E0645">
            <w:pPr>
              <w:keepNext/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lastRenderedPageBreak/>
              <w:t>growth rates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actual rate of growth of demand and real NNP = ∆</w:t>
            </w:r>
            <w:r w:rsidRPr="00705D15">
              <w:rPr>
                <w:b/>
                <w:sz w:val="20"/>
                <w:szCs w:val="20"/>
              </w:rPr>
              <w:t>Y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Y</w:t>
            </w:r>
            <w:r w:rsidRPr="00705D15">
              <w:rPr>
                <w:sz w:val="20"/>
                <w:szCs w:val="20"/>
              </w:rPr>
              <w:t xml:space="preserve"> in the HMR.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mallCaps/>
                <w:sz w:val="20"/>
                <w:szCs w:val="20"/>
                <w:vertAlign w:val="subscript"/>
              </w:rPr>
            </w:pPr>
            <w:proofErr w:type="spellStart"/>
            <w:r w:rsidRPr="00705D15">
              <w:rPr>
                <w:b/>
                <w:sz w:val="20"/>
                <w:szCs w:val="20"/>
              </w:rPr>
              <w:t>g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z</w:t>
            </w:r>
            <w:proofErr w:type="spellEnd"/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growth rate of full-capacity output = ∆</w:t>
            </w:r>
            <w:r w:rsidRPr="00705D15">
              <w:rPr>
                <w:b/>
                <w:sz w:val="20"/>
                <w:szCs w:val="20"/>
              </w:rPr>
              <w:t>Z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sz w:val="20"/>
                <w:szCs w:val="20"/>
              </w:rPr>
              <w:t>Z</w:t>
            </w:r>
            <w:r w:rsidRPr="00705D15">
              <w:rPr>
                <w:sz w:val="20"/>
                <w:szCs w:val="20"/>
              </w:rPr>
              <w:t>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5D15">
              <w:rPr>
                <w:b/>
                <w:sz w:val="20"/>
                <w:szCs w:val="20"/>
              </w:rPr>
              <w:t>g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b/>
                <w:smallCaps/>
                <w:sz w:val="20"/>
                <w:szCs w:val="20"/>
                <w:vertAlign w:val="subscript"/>
              </w:rPr>
            </w:pPr>
            <w:r w:rsidRPr="00705D15">
              <w:rPr>
                <w:sz w:val="20"/>
                <w:szCs w:val="20"/>
              </w:rPr>
              <w:t xml:space="preserve">Harrod’s warranted rate of growth = </w:t>
            </w:r>
            <w:r w:rsidRPr="00705D15">
              <w:rPr>
                <w:b/>
                <w:i/>
                <w:sz w:val="20"/>
                <w:szCs w:val="20"/>
              </w:rPr>
              <w:t>s</w:t>
            </w:r>
            <w:r w:rsidRPr="00705D15">
              <w:rPr>
                <w:sz w:val="20"/>
                <w:szCs w:val="20"/>
              </w:rPr>
              <w:t>/</w:t>
            </w:r>
            <w:r w:rsidRPr="00705D15">
              <w:rPr>
                <w:b/>
                <w:i/>
                <w:sz w:val="20"/>
                <w:szCs w:val="20"/>
              </w:rPr>
              <w:t>c</w:t>
            </w:r>
            <w:r w:rsidRPr="00705D15">
              <w:rPr>
                <w:sz w:val="20"/>
                <w:szCs w:val="20"/>
              </w:rPr>
              <w:t xml:space="preserve"> in the HMR.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mallCaps/>
                <w:sz w:val="20"/>
                <w:szCs w:val="20"/>
                <w:vertAlign w:val="subscript"/>
              </w:rPr>
            </w:pPr>
            <w:proofErr w:type="spellStart"/>
            <w:r w:rsidRPr="00705D15">
              <w:rPr>
                <w:b/>
                <w:sz w:val="20"/>
                <w:szCs w:val="20"/>
              </w:rPr>
              <w:t>g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Harrod’s “natural” (labor-constrained) rate of growth = </w:t>
            </w:r>
            <w:r w:rsidRPr="00705D15">
              <w:rPr>
                <w:b/>
                <w:i/>
                <w:sz w:val="20"/>
                <w:szCs w:val="20"/>
              </w:rPr>
              <w:t>m</w:t>
            </w:r>
            <w:r w:rsidRPr="00705D15">
              <w:rPr>
                <w:i/>
                <w:sz w:val="20"/>
                <w:szCs w:val="20"/>
              </w:rPr>
              <w:t xml:space="preserve"> </w:t>
            </w:r>
            <w:r w:rsidRPr="00705D15">
              <w:rPr>
                <w:sz w:val="20"/>
                <w:szCs w:val="20"/>
              </w:rPr>
              <w:t xml:space="preserve">+ </w:t>
            </w:r>
            <w:r w:rsidRPr="00705D15">
              <w:rPr>
                <w:b/>
                <w:sz w:val="20"/>
                <w:szCs w:val="20"/>
              </w:rPr>
              <w:t>n</w:t>
            </w:r>
            <w:r w:rsidRPr="00705D15">
              <w:rPr>
                <w:sz w:val="20"/>
                <w:szCs w:val="20"/>
              </w:rPr>
              <w:t xml:space="preserve">. 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rate of growth of </w:t>
            </w:r>
            <w:r w:rsidRPr="00705D15">
              <w:rPr>
                <w:b/>
                <w:i/>
                <w:sz w:val="20"/>
                <w:szCs w:val="20"/>
              </w:rPr>
              <w:sym w:font="Symbol" w:char="F06D"/>
            </w:r>
            <w:r w:rsidRPr="00705D15">
              <w:rPr>
                <w:sz w:val="20"/>
                <w:szCs w:val="20"/>
              </w:rPr>
              <w:t xml:space="preserve">, as measured at </w:t>
            </w:r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sz w:val="20"/>
                <w:szCs w:val="20"/>
              </w:rPr>
              <w:t xml:space="preserve"> = </w:t>
            </w:r>
            <w:proofErr w:type="spellStart"/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>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rate of growth of the available labor force (</w:t>
            </w:r>
            <w:r w:rsidRPr="00705D15">
              <w:rPr>
                <w:b/>
                <w:sz w:val="20"/>
                <w:szCs w:val="20"/>
              </w:rPr>
              <w:t>N</w:t>
            </w:r>
            <w:r w:rsidRPr="00705D15">
              <w:rPr>
                <w:sz w:val="20"/>
                <w:szCs w:val="20"/>
              </w:rPr>
              <w:t xml:space="preserve">), as measured at </w:t>
            </w:r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sz w:val="20"/>
                <w:szCs w:val="20"/>
              </w:rPr>
              <w:t xml:space="preserve"> = </w:t>
            </w:r>
            <w:proofErr w:type="spellStart"/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>.</w:t>
            </w:r>
          </w:p>
        </w:tc>
      </w:tr>
      <w:tr w:rsidR="006E0645" w:rsidTr="00A335F5">
        <w:tc>
          <w:tcPr>
            <w:tcW w:w="9350" w:type="dxa"/>
            <w:gridSpan w:val="2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abbreviations.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FE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Full employment (with </w:t>
            </w:r>
            <w:r w:rsidRPr="00705D15">
              <w:rPr>
                <w:b/>
                <w:i/>
                <w:sz w:val="20"/>
                <w:szCs w:val="20"/>
              </w:rPr>
              <w:t>e</w:t>
            </w:r>
            <w:r w:rsidRPr="00705D15">
              <w:rPr>
                <w:sz w:val="20"/>
                <w:szCs w:val="20"/>
              </w:rPr>
              <w:t xml:space="preserve"> = 1 and </w:t>
            </w:r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sz w:val="20"/>
                <w:szCs w:val="20"/>
              </w:rPr>
              <w:t xml:space="preserve"> = </w:t>
            </w:r>
            <w:proofErr w:type="spellStart"/>
            <w:r w:rsidRPr="00705D15">
              <w:rPr>
                <w:b/>
                <w:i/>
                <w:sz w:val="20"/>
                <w:szCs w:val="20"/>
              </w:rPr>
              <w:t>u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>).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NC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Neoclassical or Walrasian.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HMR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Harrodian Medium Run, with </w:t>
            </w:r>
            <w:r w:rsidRPr="00705D15">
              <w:rPr>
                <w:b/>
                <w:i/>
                <w:sz w:val="20"/>
                <w:szCs w:val="20"/>
              </w:rPr>
              <w:t>c</w:t>
            </w:r>
            <w:r w:rsidRPr="00705D15">
              <w:rPr>
                <w:sz w:val="20"/>
                <w:szCs w:val="20"/>
              </w:rPr>
              <w:t xml:space="preserve">, </w:t>
            </w:r>
            <w:r w:rsidRPr="00705D15">
              <w:rPr>
                <w:b/>
                <w:i/>
                <w:sz w:val="20"/>
                <w:szCs w:val="20"/>
              </w:rPr>
              <w:t>s</w:t>
            </w:r>
            <w:r w:rsidRPr="00705D15">
              <w:rPr>
                <w:sz w:val="20"/>
                <w:szCs w:val="20"/>
              </w:rPr>
              <w:t xml:space="preserve">, and </w:t>
            </w:r>
            <w:proofErr w:type="spellStart"/>
            <w:r w:rsidRPr="00705D15">
              <w:rPr>
                <w:b/>
                <w:sz w:val="20"/>
                <w:szCs w:val="20"/>
              </w:rPr>
              <w:t>g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 xml:space="preserve"> constant. 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HLR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Harrodian Longer Run, with </w:t>
            </w:r>
            <w:proofErr w:type="spellStart"/>
            <w:r w:rsidRPr="00705D15">
              <w:rPr>
                <w:b/>
                <w:sz w:val="20"/>
                <w:szCs w:val="20"/>
              </w:rPr>
              <w:t>g</w:t>
            </w:r>
            <w:r w:rsidRPr="00705D15">
              <w:rPr>
                <w:b/>
                <w:smallCaps/>
                <w:sz w:val="20"/>
                <w:szCs w:val="20"/>
                <w:vertAlign w:val="subscript"/>
              </w:rPr>
              <w:t>f</w:t>
            </w:r>
            <w:proofErr w:type="spellEnd"/>
            <w:r w:rsidRPr="00705D15">
              <w:rPr>
                <w:sz w:val="20"/>
                <w:szCs w:val="20"/>
              </w:rPr>
              <w:t xml:space="preserve"> constant.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KC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Keynesian Cross model.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KSR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Keynesian Short Run, with </w:t>
            </w:r>
            <w:r w:rsidRPr="00705D15">
              <w:rPr>
                <w:b/>
                <w:sz w:val="20"/>
                <w:szCs w:val="20"/>
              </w:rPr>
              <w:t xml:space="preserve">K </w:t>
            </w:r>
            <w:r w:rsidRPr="00705D15">
              <w:rPr>
                <w:sz w:val="20"/>
                <w:szCs w:val="20"/>
              </w:rPr>
              <w:t>and</w:t>
            </w:r>
            <w:r w:rsidRPr="00705D15">
              <w:rPr>
                <w:b/>
                <w:sz w:val="20"/>
                <w:szCs w:val="20"/>
              </w:rPr>
              <w:t xml:space="preserve"> Z </w:t>
            </w:r>
            <w:r w:rsidRPr="00705D15">
              <w:rPr>
                <w:sz w:val="20"/>
                <w:szCs w:val="20"/>
              </w:rPr>
              <w:t xml:space="preserve">constant. 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RE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so-called “rational” expectations.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RF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the representative firm. </w:t>
            </w:r>
          </w:p>
        </w:tc>
      </w:tr>
      <w:tr w:rsidR="006E0645" w:rsidTr="00A335F5">
        <w:tc>
          <w:tcPr>
            <w:tcW w:w="9350" w:type="dxa"/>
            <w:gridSpan w:val="2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b/>
                <w:sz w:val="20"/>
                <w:szCs w:val="20"/>
              </w:rPr>
              <w:t>miscellaneous.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b/>
                <w:i/>
                <w:sz w:val="20"/>
                <w:szCs w:val="20"/>
              </w:rPr>
              <w:t>e</w:t>
            </w:r>
            <w:r w:rsidRPr="00705D15">
              <w:rPr>
                <w:sz w:val="20"/>
                <w:szCs w:val="20"/>
              </w:rPr>
              <w:t>()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adaptive expectations function.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D15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ε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random element in expectations adjustment.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05D15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θ</w:t>
            </w:r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the partial adjustment coefficient.</w:t>
            </w:r>
          </w:p>
        </w:tc>
      </w:tr>
      <w:tr w:rsidR="006E0645" w:rsidTr="00A335F5">
        <w:tc>
          <w:tcPr>
            <w:tcW w:w="895" w:type="dxa"/>
            <w:vAlign w:val="center"/>
          </w:tcPr>
          <w:p w:rsidR="006E0645" w:rsidRPr="00705D15" w:rsidRDefault="006E0645" w:rsidP="006E0645">
            <w:pPr>
              <w:spacing w:before="60" w:after="60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/>
                </m:acc>
              </m:oMath>
            </m:oMathPara>
          </w:p>
        </w:tc>
        <w:tc>
          <w:tcPr>
            <w:tcW w:w="8455" w:type="dxa"/>
          </w:tcPr>
          <w:p w:rsidR="006E0645" w:rsidRPr="00705D15" w:rsidRDefault="006E0645" w:rsidP="006E0645">
            <w:pPr>
              <w:spacing w:before="60" w:after="60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indicator of the expected value of a variable. </w:t>
            </w:r>
          </w:p>
        </w:tc>
      </w:tr>
    </w:tbl>
    <w:p w:rsidR="006E0645" w:rsidRPr="006E0645" w:rsidRDefault="006E0645" w:rsidP="006E0645"/>
    <w:sectPr w:rsidR="006E0645" w:rsidRPr="006E0645">
      <w:headerReference w:type="default" r:id="rId16"/>
      <w:footerReference w:type="default" r:id="rId1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70" w:rsidRDefault="00321870" w:rsidP="008E4D81">
      <w:pPr>
        <w:spacing w:before="0" w:after="0" w:line="240" w:lineRule="auto"/>
      </w:pPr>
      <w:r>
        <w:separator/>
      </w:r>
    </w:p>
  </w:endnote>
  <w:endnote w:type="continuationSeparator" w:id="0">
    <w:p w:rsidR="00321870" w:rsidRDefault="00321870" w:rsidP="008E4D81">
      <w:pPr>
        <w:spacing w:before="0" w:after="0" w:line="240" w:lineRule="auto"/>
      </w:pPr>
      <w:r>
        <w:continuationSeparator/>
      </w:r>
    </w:p>
  </w:endnote>
  <w:endnote w:id="1">
    <w:p w:rsidR="00BB1581" w:rsidRPr="00590252" w:rsidRDefault="00BB1581" w:rsidP="006B3DED">
      <w:pPr>
        <w:pStyle w:val="EndnoteText"/>
      </w:pPr>
      <w:r w:rsidRPr="00590252">
        <w:rPr>
          <w:rStyle w:val="EndnoteReference"/>
        </w:rPr>
        <w:endnoteRef/>
      </w:r>
      <w:r w:rsidRPr="00B71607">
        <w:t xml:space="preserve"> </w:t>
      </w:r>
      <w:r w:rsidRPr="00590252">
        <w:t>Here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below,</w:t>
      </w:r>
      <w:r w:rsidRPr="00B71607">
        <w:t xml:space="preserve"> </w:t>
      </w:r>
      <w:r>
        <w:t>FE</w:t>
      </w:r>
      <w:r w:rsidRPr="00B71607">
        <w:t xml:space="preserve"> </w:t>
      </w:r>
      <w:r w:rsidRPr="00590252">
        <w:t>production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employment</w:t>
      </w:r>
      <w:r w:rsidRPr="00B71607">
        <w:t xml:space="preserve"> </w:t>
      </w:r>
      <w:r w:rsidRPr="00590252">
        <w:t>are</w:t>
      </w:r>
      <w:r w:rsidRPr="00B71607">
        <w:t xml:space="preserve"> </w:t>
      </w:r>
      <w:r w:rsidRPr="00590252">
        <w:t>equated</w:t>
      </w:r>
      <w:r w:rsidRPr="00B71607">
        <w:t xml:space="preserve"> </w:t>
      </w:r>
      <w:r w:rsidRPr="00590252">
        <w:t>to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levels</w:t>
      </w:r>
      <w:r w:rsidRPr="00B71607">
        <w:t xml:space="preserve"> </w:t>
      </w:r>
      <w:r w:rsidRPr="00590252">
        <w:t>associated</w:t>
      </w:r>
      <w:r w:rsidRPr="00B71607">
        <w:t xml:space="preserve"> </w:t>
      </w:r>
      <w:r w:rsidRPr="00590252">
        <w:t>with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NAIRU</w:t>
      </w:r>
      <w:r w:rsidRPr="00B71607">
        <w:t xml:space="preserve"> </w:t>
      </w:r>
      <w:r w:rsidRPr="00590252">
        <w:t>(</w:t>
      </w:r>
      <w:proofErr w:type="spellStart"/>
      <w:r w:rsidRPr="006F1605">
        <w:rPr>
          <w:b/>
          <w:i/>
        </w:rPr>
        <w:t>u</w:t>
      </w:r>
      <w:r>
        <w:rPr>
          <w:b/>
          <w:smallCaps/>
          <w:vertAlign w:val="subscript"/>
        </w:rPr>
        <w:t>F</w:t>
      </w:r>
      <w:proofErr w:type="spellEnd"/>
      <w:r w:rsidRPr="00590252">
        <w:t>,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Non-Accelerating</w:t>
      </w:r>
      <w:r w:rsidRPr="00B71607">
        <w:t xml:space="preserve"> </w:t>
      </w:r>
      <w:r w:rsidRPr="00590252">
        <w:t>Inflation</w:t>
      </w:r>
      <w:r w:rsidRPr="00B71607">
        <w:t xml:space="preserve"> </w:t>
      </w:r>
      <w:r w:rsidRPr="00590252">
        <w:t>Rate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Unemployment)</w:t>
      </w:r>
      <w:r>
        <w:t>,</w:t>
      </w:r>
      <w:r w:rsidRPr="00B71607">
        <w:t xml:space="preserve"> </w:t>
      </w:r>
      <w:r>
        <w:t>which</w:t>
      </w:r>
      <w:r w:rsidRPr="00B71607">
        <w:t xml:space="preserve"> </w:t>
      </w:r>
      <w:r>
        <w:t>is</w:t>
      </w:r>
      <w:r w:rsidRPr="00B71607">
        <w:t xml:space="preserve"> </w:t>
      </w:r>
      <w:r>
        <w:t>assumed</w:t>
      </w:r>
      <w:r w:rsidRPr="00B71607">
        <w:t xml:space="preserve"> </w:t>
      </w:r>
      <w:r>
        <w:t>to</w:t>
      </w:r>
      <w:r w:rsidRPr="00B71607">
        <w:t xml:space="preserve"> </w:t>
      </w:r>
      <w:r>
        <w:t>be</w:t>
      </w:r>
      <w:r w:rsidRPr="00B71607">
        <w:t xml:space="preserve"> </w:t>
      </w:r>
      <w:r w:rsidR="00277F17">
        <w:t xml:space="preserve">not only </w:t>
      </w:r>
      <w:r>
        <w:t>unique</w:t>
      </w:r>
      <w:r w:rsidRPr="00B71607">
        <w:t xml:space="preserve"> </w:t>
      </w:r>
      <w:r w:rsidR="00277F17">
        <w:t xml:space="preserve">but </w:t>
      </w:r>
      <w:r>
        <w:t>known</w:t>
      </w:r>
      <w:r w:rsidRPr="00B71607">
        <w:t xml:space="preserve"> </w:t>
      </w:r>
      <w:r>
        <w:t>du</w:t>
      </w:r>
      <w:r>
        <w:t>r</w:t>
      </w:r>
      <w:r>
        <w:t>ing</w:t>
      </w:r>
      <w:r w:rsidRPr="00B71607">
        <w:t xml:space="preserve"> </w:t>
      </w:r>
      <w:r>
        <w:t>the</w:t>
      </w:r>
      <w:r w:rsidRPr="00B71607">
        <w:t xml:space="preserve"> </w:t>
      </w:r>
      <w:r>
        <w:t>HMR</w:t>
      </w:r>
      <w:r w:rsidRPr="00590252">
        <w:t>.</w:t>
      </w:r>
      <w:r w:rsidRPr="00B71607">
        <w:t xml:space="preserve"> </w:t>
      </w:r>
      <w:r>
        <w:t>Because</w:t>
      </w:r>
      <w:r w:rsidRPr="00B71607">
        <w:t xml:space="preserve"> </w:t>
      </w:r>
      <w:r>
        <w:t>not</w:t>
      </w:r>
      <w:r w:rsidRPr="00B71607">
        <w:t xml:space="preserve"> </w:t>
      </w:r>
      <w:r>
        <w:t>all</w:t>
      </w:r>
      <w:r w:rsidRPr="00B71607">
        <w:t xml:space="preserve"> </w:t>
      </w:r>
      <w:r>
        <w:t>of</w:t>
      </w:r>
      <w:r w:rsidRPr="00B71607">
        <w:t xml:space="preserve"> </w:t>
      </w:r>
      <w:r>
        <w:t>Solow’s</w:t>
      </w:r>
      <w:r w:rsidRPr="00B71607">
        <w:t xml:space="preserve"> </w:t>
      </w:r>
      <w:r>
        <w:t>variants</w:t>
      </w:r>
      <w:r w:rsidRPr="00B71607">
        <w:t xml:space="preserve"> </w:t>
      </w:r>
      <w:r>
        <w:t>of</w:t>
      </w:r>
      <w:r w:rsidRPr="00B71607">
        <w:t xml:space="preserve"> </w:t>
      </w:r>
      <w:r>
        <w:t>his</w:t>
      </w:r>
      <w:r w:rsidRPr="00B71607">
        <w:t xml:space="preserve"> </w:t>
      </w:r>
      <w:r>
        <w:t>model</w:t>
      </w:r>
      <w:r w:rsidRPr="00B71607">
        <w:t xml:space="preserve"> </w:t>
      </w:r>
      <w:r>
        <w:t>are</w:t>
      </w:r>
      <w:r w:rsidRPr="00B71607">
        <w:t xml:space="preserve"> </w:t>
      </w:r>
      <w:r>
        <w:t>characterized</w:t>
      </w:r>
      <w:r w:rsidRPr="00B71607">
        <w:t xml:space="preserve"> </w:t>
      </w:r>
      <w:r>
        <w:t>by</w:t>
      </w:r>
      <w:r w:rsidRPr="00B71607">
        <w:t xml:space="preserve"> </w:t>
      </w:r>
      <w:r>
        <w:t>FE,</w:t>
      </w:r>
      <w:r w:rsidRPr="00B71607">
        <w:t xml:space="preserve"> </w:t>
      </w:r>
      <w:r>
        <w:t>what</w:t>
      </w:r>
      <w:r w:rsidRPr="00B71607">
        <w:t xml:space="preserve"> </w:t>
      </w:r>
      <w:r>
        <w:t>I</w:t>
      </w:r>
      <w:r w:rsidRPr="00B71607">
        <w:t xml:space="preserve"> </w:t>
      </w:r>
      <w:r>
        <w:t>call</w:t>
      </w:r>
      <w:r w:rsidRPr="00B71607">
        <w:t xml:space="preserve"> </w:t>
      </w:r>
      <w:r>
        <w:t>the</w:t>
      </w:r>
      <w:r w:rsidRPr="00B71607">
        <w:t xml:space="preserve"> </w:t>
      </w:r>
      <w:r>
        <w:t>“NC”</w:t>
      </w:r>
      <w:r w:rsidRPr="00B71607">
        <w:t xml:space="preserve"> </w:t>
      </w:r>
      <w:r>
        <w:t>li</w:t>
      </w:r>
      <w:r>
        <w:t>t</w:t>
      </w:r>
      <w:r>
        <w:t>erature</w:t>
      </w:r>
      <w:r w:rsidRPr="00B71607">
        <w:t xml:space="preserve"> </w:t>
      </w:r>
      <w:r>
        <w:t>completely</w:t>
      </w:r>
      <w:r w:rsidRPr="00B71607">
        <w:t xml:space="preserve"> </w:t>
      </w:r>
      <w:r>
        <w:t>ignores</w:t>
      </w:r>
      <w:r w:rsidRPr="00B71607">
        <w:t xml:space="preserve"> </w:t>
      </w:r>
      <w:r>
        <w:t>all</w:t>
      </w:r>
      <w:r w:rsidRPr="00B71607">
        <w:t xml:space="preserve"> </w:t>
      </w:r>
      <w:r>
        <w:t>of</w:t>
      </w:r>
      <w:r w:rsidRPr="00B71607">
        <w:t xml:space="preserve"> </w:t>
      </w:r>
      <w:r>
        <w:t>Solow’s</w:t>
      </w:r>
      <w:r w:rsidRPr="00B71607">
        <w:t xml:space="preserve"> </w:t>
      </w:r>
      <w:r>
        <w:t>realistic</w:t>
      </w:r>
      <w:r w:rsidRPr="00B71607">
        <w:t xml:space="preserve"> </w:t>
      </w:r>
      <w:r>
        <w:t>qualifications</w:t>
      </w:r>
      <w:r w:rsidRPr="00B71607">
        <w:t xml:space="preserve"> </w:t>
      </w:r>
      <w:r>
        <w:t>that</w:t>
      </w:r>
      <w:r w:rsidRPr="00B71607">
        <w:t xml:space="preserve"> </w:t>
      </w:r>
      <w:r>
        <w:t>allow</w:t>
      </w:r>
      <w:r w:rsidRPr="00B71607">
        <w:t xml:space="preserve"> </w:t>
      </w:r>
      <w:r>
        <w:t>for</w:t>
      </w:r>
      <w:r w:rsidRPr="00B71607">
        <w:t xml:space="preserve"> </w:t>
      </w:r>
      <w:r>
        <w:t>less-than</w:t>
      </w:r>
      <w:r w:rsidRPr="00B71607">
        <w:t xml:space="preserve"> </w:t>
      </w:r>
      <w:r>
        <w:t>full</w:t>
      </w:r>
      <w:r w:rsidRPr="00B71607">
        <w:t xml:space="preserve"> </w:t>
      </w:r>
      <w:r>
        <w:t>employment.</w:t>
      </w:r>
      <w:r w:rsidRPr="00B71607">
        <w:t xml:space="preserve"> </w:t>
      </w:r>
    </w:p>
  </w:endnote>
  <w:endnote w:id="2">
    <w:p w:rsidR="00BB1581" w:rsidRDefault="00BB1581" w:rsidP="00586057">
      <w:pPr>
        <w:pStyle w:val="EndnoteText"/>
      </w:pPr>
      <w:r>
        <w:rPr>
          <w:rStyle w:val="EndnoteReference"/>
        </w:rPr>
        <w:endnoteRef/>
      </w:r>
      <w:r>
        <w:t xml:space="preserve"> Strictly speaking, the usual story involves a single “imperfection” (most often, sticky money wages). If there are two “imperfections” (i.e., deviations from the Walrasian ideal), </w:t>
      </w:r>
      <w:r w:rsidR="00277F17">
        <w:t xml:space="preserve">applying </w:t>
      </w:r>
      <w:r>
        <w:t>the Theory of the Second Best tells us that it</w:t>
      </w:r>
      <w:r w:rsidR="00D72BD4">
        <w:t xml:space="preserve"> i</w:t>
      </w:r>
      <w:r>
        <w:t>s possible that the two might cancel each other out. In microeconomics, for example, a mono</w:t>
      </w:r>
      <w:r>
        <w:t>p</w:t>
      </w:r>
      <w:r>
        <w:t>olist’s r</w:t>
      </w:r>
      <w:r>
        <w:t>e</w:t>
      </w:r>
      <w:r>
        <w:t xml:space="preserve">striction of output can to some extent cancel the effects of negative externalities. </w:t>
      </w:r>
    </w:p>
  </w:endnote>
  <w:endnote w:id="3">
    <w:p w:rsidR="00BB1581" w:rsidRPr="00590252" w:rsidRDefault="00BB1581" w:rsidP="006B3DED">
      <w:pPr>
        <w:pStyle w:val="EndnoteText"/>
      </w:pPr>
      <w:r w:rsidRPr="00590252">
        <w:rPr>
          <w:rStyle w:val="EndnoteReference"/>
        </w:rPr>
        <w:endnoteRef/>
      </w:r>
      <w:r w:rsidRPr="00B71607">
        <w:t xml:space="preserve"> </w:t>
      </w:r>
      <w:r w:rsidRPr="00590252">
        <w:t>My</w:t>
      </w:r>
      <w:r w:rsidRPr="00B71607">
        <w:t xml:space="preserve"> </w:t>
      </w:r>
      <w:r w:rsidRPr="00590252">
        <w:t>interpretation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what</w:t>
      </w:r>
      <w:r w:rsidRPr="00B71607">
        <w:t xml:space="preserve"> </w:t>
      </w:r>
      <w:r w:rsidRPr="00D4213A">
        <w:rPr>
          <w:noProof/>
        </w:rPr>
        <w:t>Harrod</w:t>
      </w:r>
      <w:r w:rsidRPr="00B71607">
        <w:t xml:space="preserve"> </w:t>
      </w:r>
      <w:r>
        <w:t>meant</w:t>
      </w:r>
      <w:r w:rsidRPr="00B71607">
        <w:t xml:space="preserve"> </w:t>
      </w:r>
      <w:r w:rsidRPr="00590252">
        <w:t>by</w:t>
      </w:r>
      <w:r w:rsidRPr="00B71607">
        <w:t xml:space="preserve"> </w:t>
      </w:r>
      <w:r w:rsidRPr="00590252">
        <w:t>“proper”</w:t>
      </w:r>
      <w:r w:rsidRPr="00B71607">
        <w:t xml:space="preserve"> </w:t>
      </w:r>
      <w:r w:rsidRPr="00590252">
        <w:t>differs</w:t>
      </w:r>
      <w:r w:rsidRPr="00B71607">
        <w:t xml:space="preserve"> </w:t>
      </w:r>
      <w:r w:rsidRPr="00590252">
        <w:t>from</w:t>
      </w:r>
      <w:r w:rsidRPr="00B71607">
        <w:t xml:space="preserve"> </w:t>
      </w:r>
      <w:r w:rsidRPr="00590252">
        <w:t>that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Hoover</w:t>
      </w:r>
      <w:r w:rsidRPr="00B71607">
        <w:t xml:space="preserve"> </w:t>
      </w:r>
      <w:r w:rsidRPr="00590252">
        <w:t>(2008).</w:t>
      </w:r>
    </w:p>
  </w:endnote>
  <w:endnote w:id="4">
    <w:p w:rsidR="00BB1581" w:rsidRPr="00590252" w:rsidRDefault="00BB1581" w:rsidP="006B3DED">
      <w:pPr>
        <w:pStyle w:val="EndnoteText"/>
      </w:pPr>
      <w:r w:rsidRPr="00590252">
        <w:rPr>
          <w:rStyle w:val="EndnoteReference"/>
        </w:rPr>
        <w:endnoteRef/>
      </w:r>
      <w:r w:rsidRPr="00B71607">
        <w:t xml:space="preserve"> </w:t>
      </w:r>
      <w:r w:rsidRPr="00590252">
        <w:t>The</w:t>
      </w:r>
      <w:r w:rsidRPr="00B71607">
        <w:t xml:space="preserve"> </w:t>
      </w:r>
      <w:r>
        <w:t>NC</w:t>
      </w:r>
      <w:r w:rsidRPr="00B71607">
        <w:t xml:space="preserve"> </w:t>
      </w:r>
      <w:r w:rsidRPr="00590252">
        <w:t>“growth</w:t>
      </w:r>
      <w:r w:rsidRPr="00B71607">
        <w:t xml:space="preserve"> </w:t>
      </w:r>
      <w:r w:rsidRPr="00590252">
        <w:t>accounting”</w:t>
      </w:r>
      <w:r w:rsidRPr="00B71607">
        <w:t xml:space="preserve"> </w:t>
      </w:r>
      <w:r w:rsidRPr="00590252">
        <w:t>literature</w:t>
      </w:r>
      <w:r w:rsidRPr="00B71607">
        <w:t xml:space="preserve"> </w:t>
      </w:r>
      <w:r w:rsidRPr="00590252">
        <w:t>approaches</w:t>
      </w:r>
      <w:r w:rsidRPr="00B71607">
        <w:t xml:space="preserve"> </w:t>
      </w:r>
      <w:r w:rsidRPr="00590252">
        <w:t>empirical</w:t>
      </w:r>
      <w:r w:rsidRPr="00B71607">
        <w:t xml:space="preserve"> </w:t>
      </w:r>
      <w:r w:rsidRPr="00590252">
        <w:t>issues</w:t>
      </w:r>
      <w:r w:rsidRPr="00B71607">
        <w:t xml:space="preserve"> </w:t>
      </w:r>
      <w:r w:rsidRPr="00590252">
        <w:t>by</w:t>
      </w:r>
      <w:r w:rsidRPr="00B71607">
        <w:t xml:space="preserve"> </w:t>
      </w:r>
      <w:r w:rsidRPr="00590252">
        <w:rPr>
          <w:i/>
        </w:rPr>
        <w:t>assuming</w:t>
      </w:r>
      <w:r w:rsidRPr="00B71607">
        <w:t xml:space="preserve"> </w:t>
      </w:r>
      <w:r w:rsidRPr="00590252">
        <w:t>that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NC</w:t>
      </w:r>
      <w:r w:rsidRPr="00B71607">
        <w:t xml:space="preserve"> </w:t>
      </w:r>
      <w:r w:rsidRPr="00590252">
        <w:t>aggregate</w:t>
      </w:r>
      <w:r w:rsidRPr="00B71607">
        <w:t xml:space="preserve"> </w:t>
      </w:r>
      <w:r w:rsidRPr="00590252">
        <w:t>pr</w:t>
      </w:r>
      <w:r w:rsidRPr="00590252">
        <w:t>o</w:t>
      </w:r>
      <w:r w:rsidRPr="00590252">
        <w:t>duction</w:t>
      </w:r>
      <w:r w:rsidRPr="00B71607">
        <w:t xml:space="preserve"> </w:t>
      </w:r>
      <w:r w:rsidRPr="00590252">
        <w:t>function</w:t>
      </w:r>
      <w:r w:rsidRPr="00B71607">
        <w:t xml:space="preserve"> </w:t>
      </w:r>
      <w:r>
        <w:t>and</w:t>
      </w:r>
      <w:r w:rsidRPr="00B71607">
        <w:t xml:space="preserve"> </w:t>
      </w:r>
      <w:r>
        <w:t>much</w:t>
      </w:r>
      <w:r w:rsidRPr="00B71607">
        <w:t xml:space="preserve"> </w:t>
      </w:r>
      <w:r>
        <w:t>of</w:t>
      </w:r>
      <w:r w:rsidRPr="00B71607">
        <w:t xml:space="preserve"> </w:t>
      </w:r>
      <w:r>
        <w:t>the</w:t>
      </w:r>
      <w:r w:rsidRPr="00B71607">
        <w:t xml:space="preserve"> </w:t>
      </w:r>
      <w:r>
        <w:t>NC</w:t>
      </w:r>
      <w:r w:rsidRPr="00B71607">
        <w:t xml:space="preserve"> </w:t>
      </w:r>
      <w:r>
        <w:t>vision</w:t>
      </w:r>
      <w:r w:rsidRPr="00B71607">
        <w:t xml:space="preserve"> </w:t>
      </w:r>
      <w:r>
        <w:t>of</w:t>
      </w:r>
      <w:r w:rsidRPr="00B71607">
        <w:t xml:space="preserve"> </w:t>
      </w:r>
      <w:r>
        <w:t>perfection</w:t>
      </w:r>
      <w:r w:rsidRPr="00B71607">
        <w:t xml:space="preserve"> </w:t>
      </w:r>
      <w:r>
        <w:t>central</w:t>
      </w:r>
      <w:r w:rsidRPr="00B71607">
        <w:t xml:space="preserve"> </w:t>
      </w:r>
      <w:r>
        <w:t>to</w:t>
      </w:r>
      <w:r w:rsidRPr="00B71607">
        <w:t xml:space="preserve"> </w:t>
      </w:r>
      <w:r w:rsidRPr="00590252">
        <w:t>Solow</w:t>
      </w:r>
      <w:r>
        <w:t>’s</w:t>
      </w:r>
      <w:r w:rsidRPr="00B71607">
        <w:t xml:space="preserve"> </w:t>
      </w:r>
      <w:r>
        <w:t>model</w:t>
      </w:r>
      <w:r w:rsidRPr="00B71607">
        <w:t xml:space="preserve"> </w:t>
      </w:r>
      <w:r w:rsidRPr="00590252">
        <w:t>appl</w:t>
      </w:r>
      <w:r>
        <w:t>y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real</w:t>
      </w:r>
      <w:r w:rsidRPr="00B71607">
        <w:t xml:space="preserve"> </w:t>
      </w:r>
      <w:r w:rsidRPr="00590252">
        <w:t>world.</w:t>
      </w:r>
      <w:r w:rsidRPr="00B71607">
        <w:t xml:space="preserve"> </w:t>
      </w:r>
    </w:p>
  </w:endnote>
  <w:endnote w:id="5">
    <w:p w:rsidR="00BB1581" w:rsidRPr="00590252" w:rsidRDefault="00BB1581" w:rsidP="006B3DED">
      <w:pPr>
        <w:pStyle w:val="EndnoteText"/>
      </w:pPr>
      <w:r w:rsidRPr="00590252">
        <w:rPr>
          <w:rStyle w:val="EndnoteReference"/>
          <w:b/>
          <w:smallCaps/>
        </w:rPr>
        <w:endnoteRef/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rPr>
          <w:noProof/>
        </w:rPr>
        <w:t>Leijonhufvud’s</w:t>
      </w:r>
      <w:r w:rsidRPr="00B71607">
        <w:t xml:space="preserve"> </w:t>
      </w:r>
      <w:r w:rsidRPr="00590252">
        <w:t>(1973)</w:t>
      </w:r>
      <w:r w:rsidRPr="00B71607">
        <w:t xml:space="preserve"> </w:t>
      </w:r>
      <w:r w:rsidRPr="00590252">
        <w:t>terms,</w:t>
      </w:r>
      <w:r w:rsidRPr="00B71607">
        <w:t xml:space="preserve"> </w:t>
      </w:r>
      <w:r w:rsidRPr="00590252">
        <w:t>Keynesians</w:t>
      </w:r>
      <w:r w:rsidRPr="00B71607">
        <w:t xml:space="preserve"> </w:t>
      </w:r>
      <w:r w:rsidRPr="00590252">
        <w:t>consider</w:t>
      </w:r>
      <w:r w:rsidRPr="00B71607">
        <w:t xml:space="preserve"> </w:t>
      </w:r>
      <w:r w:rsidRPr="00590252">
        <w:t>cases</w:t>
      </w:r>
      <w:r w:rsidRPr="00B71607">
        <w:t xml:space="preserve"> </w:t>
      </w:r>
      <w:r w:rsidRPr="00590252">
        <w:t>not</w:t>
      </w:r>
      <w:r w:rsidRPr="00B71607">
        <w:t xml:space="preserve"> </w:t>
      </w:r>
      <w:r w:rsidRPr="00590252">
        <w:t>only</w:t>
      </w:r>
      <w:r w:rsidRPr="00B71607">
        <w:t xml:space="preserve"> </w:t>
      </w:r>
      <w:r w:rsidRPr="00590252">
        <w:t>inside</w:t>
      </w:r>
      <w:r w:rsidRPr="00B71607">
        <w:t xml:space="preserve"> </w:t>
      </w:r>
      <w:r w:rsidRPr="00590252">
        <w:t>but</w:t>
      </w:r>
      <w:r w:rsidRPr="00B71607">
        <w:t xml:space="preserve"> </w:t>
      </w:r>
      <w:r w:rsidRPr="00590252">
        <w:t>outside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“corridor”</w:t>
      </w:r>
      <w:r w:rsidRPr="00B71607">
        <w:t xml:space="preserve"> </w:t>
      </w:r>
      <w:r w:rsidRPr="00590252">
        <w:t>around</w:t>
      </w:r>
      <w:r w:rsidRPr="00B71607">
        <w:t xml:space="preserve"> </w:t>
      </w:r>
      <w:r w:rsidRPr="00590252">
        <w:t>FE</w:t>
      </w:r>
      <w:r w:rsidRPr="00B71607">
        <w:t xml:space="preserve"> </w:t>
      </w:r>
      <w:r w:rsidRPr="00590252">
        <w:t>while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NC</w:t>
      </w:r>
      <w:r w:rsidRPr="00B71607">
        <w:t xml:space="preserve"> </w:t>
      </w:r>
      <w:r w:rsidRPr="00590252">
        <w:t>school</w:t>
      </w:r>
      <w:r w:rsidRPr="00B71607">
        <w:t xml:space="preserve"> </w:t>
      </w:r>
      <w:r w:rsidRPr="00590252">
        <w:t>limits</w:t>
      </w:r>
      <w:r w:rsidRPr="00B71607">
        <w:t xml:space="preserve"> </w:t>
      </w:r>
      <w:r w:rsidRPr="00590252">
        <w:t>itself</w:t>
      </w:r>
      <w:r w:rsidRPr="00B71607">
        <w:t xml:space="preserve"> </w:t>
      </w:r>
      <w:r w:rsidRPr="00590252">
        <w:t>to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cases</w:t>
      </w:r>
      <w:r w:rsidRPr="00B71607">
        <w:t xml:space="preserve"> </w:t>
      </w:r>
      <w:r w:rsidRPr="00590252">
        <w:t>inside</w:t>
      </w:r>
      <w:r w:rsidRPr="00B71607">
        <w:t xml:space="preserve"> </w:t>
      </w:r>
      <w:r w:rsidRPr="00590252">
        <w:t>it.</w:t>
      </w:r>
    </w:p>
  </w:endnote>
  <w:endnote w:id="6">
    <w:p w:rsidR="00BB1581" w:rsidRPr="00590252" w:rsidRDefault="00BB1581" w:rsidP="006B3DED">
      <w:pPr>
        <w:pStyle w:val="EndnoteText"/>
      </w:pPr>
      <w:r w:rsidRPr="00590252">
        <w:rPr>
          <w:rStyle w:val="EndnoteReference"/>
          <w:b/>
          <w:smallCaps/>
        </w:rPr>
        <w:endnoteRef/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course,</w:t>
      </w:r>
      <w:r w:rsidRPr="00B71607">
        <w:t xml:space="preserve"> </w:t>
      </w:r>
      <w:r w:rsidRPr="00590252">
        <w:t>Keynes</w:t>
      </w:r>
      <w:r w:rsidRPr="00B71607">
        <w:t xml:space="preserve"> </w:t>
      </w:r>
      <w:r w:rsidRPr="00590252">
        <w:t>himself</w:t>
      </w:r>
      <w:r w:rsidRPr="00B71607">
        <w:t xml:space="preserve"> </w:t>
      </w:r>
      <w:r w:rsidRPr="00590252">
        <w:t>(1936:</w:t>
      </w:r>
      <w:r w:rsidRPr="00B71607">
        <w:t xml:space="preserve"> </w:t>
      </w:r>
      <w:r w:rsidRPr="00590252">
        <w:t>ch.14)</w:t>
      </w:r>
      <w:r w:rsidRPr="00B71607">
        <w:t xml:space="preserve"> </w:t>
      </w:r>
      <w:r w:rsidRPr="00590252">
        <w:t>rejected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application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Classical</w:t>
      </w:r>
      <w:r w:rsidRPr="00B71607">
        <w:t xml:space="preserve"> </w:t>
      </w:r>
      <w:r w:rsidRPr="00590252">
        <w:t>or</w:t>
      </w:r>
      <w:r w:rsidRPr="00B71607">
        <w:t xml:space="preserve"> </w:t>
      </w:r>
      <w:r w:rsidRPr="00590252">
        <w:t>NC</w:t>
      </w:r>
      <w:r w:rsidRPr="00B71607">
        <w:t xml:space="preserve"> </w:t>
      </w:r>
      <w:r w:rsidRPr="00590252">
        <w:t>theory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interest-rate</w:t>
      </w:r>
      <w:r w:rsidRPr="00B71607">
        <w:t xml:space="preserve"> </w:t>
      </w:r>
      <w:r w:rsidRPr="00590252">
        <w:t>determination</w:t>
      </w:r>
      <w:r w:rsidRPr="00B71607">
        <w:t xml:space="preserve"> </w:t>
      </w:r>
      <w:r w:rsidRPr="00590252">
        <w:t>when</w:t>
      </w:r>
      <w:r w:rsidRPr="00B71607">
        <w:t xml:space="preserve"> </w:t>
      </w:r>
      <w:r w:rsidRPr="00590252">
        <w:t>we</w:t>
      </w:r>
      <w:r w:rsidRPr="00B71607">
        <w:t xml:space="preserve"> </w:t>
      </w:r>
      <w:r w:rsidRPr="00590252">
        <w:t>cannot</w:t>
      </w:r>
      <w:r w:rsidRPr="00B71607">
        <w:t xml:space="preserve"> </w:t>
      </w:r>
      <w:r w:rsidRPr="00590252">
        <w:t>assume</w:t>
      </w:r>
      <w:r w:rsidRPr="00B71607">
        <w:t xml:space="preserve"> </w:t>
      </w:r>
      <w:r w:rsidRPr="00590252">
        <w:t>that</w:t>
      </w:r>
      <w:r w:rsidRPr="00B71607">
        <w:t xml:space="preserve"> </w:t>
      </w:r>
      <w:r w:rsidRPr="00865CCB">
        <w:rPr>
          <w:b/>
        </w:rPr>
        <w:t>D</w:t>
      </w:r>
      <w:r w:rsidRPr="00B71607">
        <w:t xml:space="preserve"> </w:t>
      </w:r>
      <w:r>
        <w:t>and</w:t>
      </w:r>
      <w:r w:rsidRPr="00B71607">
        <w:t xml:space="preserve"> </w:t>
      </w:r>
      <w:r>
        <w:rPr>
          <w:b/>
        </w:rPr>
        <w:t>Y</w:t>
      </w:r>
      <w:r w:rsidRPr="00B71607">
        <w:t xml:space="preserve"> </w:t>
      </w:r>
      <w:r w:rsidRPr="00590252">
        <w:t>always</w:t>
      </w:r>
      <w:r w:rsidRPr="00B71607">
        <w:t xml:space="preserve"> </w:t>
      </w:r>
      <w:r w:rsidRPr="00590252">
        <w:t>equals</w:t>
      </w:r>
      <w:r w:rsidRPr="00B71607">
        <w:t xml:space="preserve"> </w:t>
      </w:r>
      <w:r w:rsidRPr="00590252">
        <w:rPr>
          <w:b/>
        </w:rPr>
        <w:t>F</w:t>
      </w:r>
      <w:r w:rsidRPr="00590252">
        <w:t>.</w:t>
      </w:r>
      <w:r w:rsidRPr="00B71607">
        <w:t xml:space="preserve"> </w:t>
      </w:r>
      <w:r>
        <w:t>Oddly,</w:t>
      </w:r>
      <w:r w:rsidRPr="00B71607">
        <w:t xml:space="preserve"> </w:t>
      </w:r>
      <w:r>
        <w:t>this</w:t>
      </w:r>
      <w:r w:rsidRPr="00B71607">
        <w:t xml:space="preserve"> </w:t>
      </w:r>
      <w:r w:rsidRPr="00590252">
        <w:t>“loanable</w:t>
      </w:r>
      <w:r w:rsidRPr="00B71607">
        <w:t xml:space="preserve"> </w:t>
      </w:r>
      <w:r w:rsidRPr="00590252">
        <w:t>funds”</w:t>
      </w:r>
      <w:r w:rsidRPr="00B71607">
        <w:t xml:space="preserve"> </w:t>
      </w:r>
      <w:r w:rsidRPr="00590252">
        <w:t>framework</w:t>
      </w:r>
      <w:r w:rsidRPr="00B71607">
        <w:t xml:space="preserve"> </w:t>
      </w:r>
      <w:r>
        <w:t>is</w:t>
      </w:r>
      <w:r w:rsidRPr="00B71607">
        <w:t xml:space="preserve"> </w:t>
      </w:r>
      <w:r w:rsidRPr="00590252">
        <w:t>seen</w:t>
      </w:r>
      <w:r w:rsidRPr="00B71607">
        <w:t xml:space="preserve"> </w:t>
      </w:r>
      <w:r>
        <w:t>nowadays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textbooks,</w:t>
      </w:r>
      <w:r w:rsidRPr="00B71607">
        <w:t xml:space="preserve"> </w:t>
      </w:r>
      <w:r w:rsidRPr="00590252">
        <w:t>often</w:t>
      </w:r>
      <w:r w:rsidRPr="00B71607">
        <w:t xml:space="preserve"> </w:t>
      </w:r>
      <w:r w:rsidRPr="00590252">
        <w:t>grafted</w:t>
      </w:r>
      <w:r w:rsidRPr="00B71607">
        <w:t xml:space="preserve"> </w:t>
      </w:r>
      <w:r w:rsidRPr="00590252">
        <w:t>onto</w:t>
      </w:r>
      <w:r w:rsidRPr="00B71607">
        <w:t xml:space="preserve"> </w:t>
      </w:r>
      <w:r w:rsidRPr="00590252">
        <w:t>Solow’s</w:t>
      </w:r>
      <w:r w:rsidRPr="00B71607">
        <w:t xml:space="preserve"> </w:t>
      </w:r>
      <w:r w:rsidRPr="00590252">
        <w:t>model.</w:t>
      </w:r>
      <w:r w:rsidRPr="00B71607">
        <w:t xml:space="preserve"> </w:t>
      </w:r>
      <w:r w:rsidRPr="00590252">
        <w:t>To</w:t>
      </w:r>
      <w:r w:rsidRPr="00B71607">
        <w:t xml:space="preserve"> </w:t>
      </w:r>
      <w:r w:rsidRPr="00590252">
        <w:t>Keynes,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short</w:t>
      </w:r>
      <w:r w:rsidRPr="00B71607">
        <w:t xml:space="preserve"> </w:t>
      </w:r>
      <w:r w:rsidRPr="00590252">
        <w:t>run,</w:t>
      </w:r>
      <w:r w:rsidRPr="00B71607">
        <w:t xml:space="preserve"> </w:t>
      </w:r>
      <w:r w:rsidRPr="00590252">
        <w:t>with</w:t>
      </w:r>
      <w:r w:rsidRPr="00B71607">
        <w:t xml:space="preserve"> </w:t>
      </w:r>
      <w:r w:rsidRPr="00590252">
        <w:rPr>
          <w:b/>
        </w:rPr>
        <w:t>F</w:t>
      </w:r>
      <w:r w:rsidRPr="00B71607">
        <w:t xml:space="preserve"> </w:t>
      </w:r>
      <w:r w:rsidRPr="00590252">
        <w:t>&gt;</w:t>
      </w:r>
      <w:r w:rsidRPr="00B71607">
        <w:t xml:space="preserve"> </w:t>
      </w:r>
      <w:r w:rsidR="00D72BD4">
        <w:rPr>
          <w:b/>
        </w:rPr>
        <w:t>Y</w:t>
      </w:r>
      <w:r w:rsidRPr="00590252">
        <w:t>,</w:t>
      </w:r>
      <w:r w:rsidRPr="00B71607">
        <w:t xml:space="preserve"> </w:t>
      </w:r>
      <w:r w:rsidRPr="00590252">
        <w:t>i</w:t>
      </w:r>
      <w:r w:rsidRPr="00590252">
        <w:t>n</w:t>
      </w:r>
      <w:r w:rsidRPr="00590252">
        <w:t>terest</w:t>
      </w:r>
      <w:r w:rsidRPr="00B71607">
        <w:t xml:space="preserve"> </w:t>
      </w:r>
      <w:r w:rsidRPr="00590252">
        <w:t>rates</w:t>
      </w:r>
      <w:r w:rsidRPr="00B71607">
        <w:t xml:space="preserve"> </w:t>
      </w:r>
      <w:r w:rsidRPr="00590252">
        <w:t>were</w:t>
      </w:r>
      <w:r w:rsidRPr="00B71607">
        <w:t xml:space="preserve"> </w:t>
      </w:r>
      <w:r w:rsidRPr="00590252">
        <w:t>determined</w:t>
      </w:r>
      <w:r w:rsidRPr="00B71607">
        <w:t xml:space="preserve"> </w:t>
      </w:r>
      <w:r w:rsidRPr="00590252">
        <w:t>almost</w:t>
      </w:r>
      <w:r w:rsidRPr="00B71607">
        <w:t xml:space="preserve"> </w:t>
      </w:r>
      <w:r w:rsidRPr="00590252">
        <w:t>entirely</w:t>
      </w:r>
      <w:r w:rsidRPr="00B71607">
        <w:t xml:space="preserve"> </w:t>
      </w:r>
      <w:r w:rsidRPr="00590252">
        <w:t>by</w:t>
      </w:r>
      <w:r w:rsidRPr="00B71607">
        <w:t xml:space="preserve"> </w:t>
      </w:r>
      <w:r w:rsidRPr="00590252">
        <w:t>existing</w:t>
      </w:r>
      <w:r w:rsidRPr="00B71607">
        <w:t xml:space="preserve"> </w:t>
      </w:r>
      <w:r w:rsidRPr="00590252">
        <w:t>stocks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paper</w:t>
      </w:r>
      <w:r w:rsidRPr="00B71607">
        <w:t xml:space="preserve"> </w:t>
      </w:r>
      <w:r w:rsidRPr="00590252">
        <w:t>assets</w:t>
      </w:r>
      <w:r w:rsidRPr="00B71607">
        <w:t xml:space="preserve"> </w:t>
      </w:r>
      <w:r w:rsidRPr="00590252">
        <w:t>(especially</w:t>
      </w:r>
      <w:r w:rsidRPr="00B71607">
        <w:t xml:space="preserve"> </w:t>
      </w:r>
      <w:r w:rsidRPr="00590252">
        <w:t>money)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demands</w:t>
      </w:r>
      <w:r w:rsidRPr="00B71607">
        <w:t xml:space="preserve"> </w:t>
      </w:r>
      <w:r w:rsidRPr="00590252">
        <w:t>for</w:t>
      </w:r>
      <w:r w:rsidRPr="00B71607">
        <w:t xml:space="preserve"> </w:t>
      </w:r>
      <w:r w:rsidRPr="00590252">
        <w:t>them</w:t>
      </w:r>
      <w:r w:rsidRPr="00B71607">
        <w:t xml:space="preserve"> </w:t>
      </w:r>
      <w:r w:rsidRPr="00590252">
        <w:t>rather</w:t>
      </w:r>
      <w:r w:rsidRPr="00B71607">
        <w:t xml:space="preserve"> </w:t>
      </w:r>
      <w:r w:rsidRPr="00590252">
        <w:t>than</w:t>
      </w:r>
      <w:r w:rsidRPr="00B71607">
        <w:t xml:space="preserve"> </w:t>
      </w:r>
      <w:r w:rsidRPr="00590252">
        <w:t>by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flow-supply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flow-demand</w:t>
      </w:r>
      <w:r w:rsidRPr="00B71607">
        <w:t xml:space="preserve"> </w:t>
      </w:r>
      <w:r w:rsidRPr="00590252">
        <w:t>for</w:t>
      </w:r>
      <w:r w:rsidRPr="00B71607">
        <w:t xml:space="preserve"> </w:t>
      </w:r>
      <w:r w:rsidRPr="00590252">
        <w:t>assets</w:t>
      </w:r>
      <w:r w:rsidR="00D72BD4">
        <w:t xml:space="preserve"> as in loanable funds lore</w:t>
      </w:r>
      <w:r w:rsidRPr="00590252">
        <w:t>.</w:t>
      </w:r>
      <w:r w:rsidRPr="00B71607">
        <w:t xml:space="preserve"> </w:t>
      </w:r>
    </w:p>
  </w:endnote>
  <w:endnote w:id="7">
    <w:p w:rsidR="00BB1581" w:rsidRPr="00590252" w:rsidRDefault="00BB1581" w:rsidP="006B3DED">
      <w:pPr>
        <w:pStyle w:val="EndnoteText"/>
      </w:pPr>
      <w:r w:rsidRPr="00590252">
        <w:rPr>
          <w:rStyle w:val="EndnoteReference"/>
        </w:rPr>
        <w:endnoteRef/>
      </w:r>
      <w:r w:rsidRPr="00B71607">
        <w:t xml:space="preserve"> </w:t>
      </w:r>
      <w:r w:rsidRPr="00590252">
        <w:t>This</w:t>
      </w:r>
      <w:r w:rsidRPr="00B71607">
        <w:t xml:space="preserve"> </w:t>
      </w:r>
      <w:r>
        <w:t>vision</w:t>
      </w:r>
      <w:r w:rsidRPr="00B71607">
        <w:t xml:space="preserve"> </w:t>
      </w:r>
      <w:r w:rsidRPr="00590252">
        <w:t>fits</w:t>
      </w:r>
      <w:r w:rsidRPr="00B71607">
        <w:t xml:space="preserve"> </w:t>
      </w:r>
      <w:r w:rsidRPr="00590252">
        <w:t>Friedman’s</w:t>
      </w:r>
      <w:r w:rsidRPr="00B71607">
        <w:t xml:space="preserve"> </w:t>
      </w:r>
      <w:r w:rsidRPr="00590252">
        <w:t>(196</w:t>
      </w:r>
      <w:r>
        <w:t>8</w:t>
      </w:r>
      <w:r w:rsidRPr="00590252">
        <w:t>)</w:t>
      </w:r>
      <w:r w:rsidRPr="00B71607">
        <w:t xml:space="preserve"> </w:t>
      </w:r>
      <w:r w:rsidRPr="00590252">
        <w:t>definition</w:t>
      </w:r>
      <w:r w:rsidRPr="00B71607">
        <w:t xml:space="preserve"> </w:t>
      </w:r>
      <w:r w:rsidRPr="00590252">
        <w:t>of</w:t>
      </w:r>
      <w:r w:rsidRPr="00B71607">
        <w:t xml:space="preserve"> </w:t>
      </w:r>
      <w:r>
        <w:t>the</w:t>
      </w:r>
      <w:r w:rsidRPr="00B71607">
        <w:t xml:space="preserve"> </w:t>
      </w:r>
      <w:r w:rsidRPr="00590252">
        <w:t>“natural”</w:t>
      </w:r>
      <w:r w:rsidRPr="00B71607">
        <w:t xml:space="preserve"> </w:t>
      </w:r>
      <w:r w:rsidRPr="00590252">
        <w:t>unemployment</w:t>
      </w:r>
      <w:r w:rsidRPr="00B71607">
        <w:t xml:space="preserve"> </w:t>
      </w:r>
      <w:r w:rsidRPr="00590252">
        <w:t>rate</w:t>
      </w:r>
      <w:r w:rsidRPr="00B71607">
        <w:t xml:space="preserve"> </w:t>
      </w:r>
      <w:r w:rsidRPr="00590252">
        <w:t>as</w:t>
      </w:r>
      <w:r w:rsidRPr="00B71607">
        <w:t xml:space="preserve"> </w:t>
      </w:r>
      <w:r w:rsidRPr="00590252">
        <w:t>“the</w:t>
      </w:r>
      <w:r w:rsidRPr="00B71607">
        <w:t xml:space="preserve"> </w:t>
      </w:r>
      <w:r w:rsidRPr="00590252">
        <w:t>level</w:t>
      </w:r>
      <w:r w:rsidRPr="00B71607">
        <w:t xml:space="preserve"> </w:t>
      </w:r>
      <w:r w:rsidRPr="00590252">
        <w:t>that</w:t>
      </w:r>
      <w:r w:rsidRPr="00B71607">
        <w:t xml:space="preserve"> </w:t>
      </w:r>
      <w:r w:rsidRPr="00590252">
        <w:t>would</w:t>
      </w:r>
      <w:r w:rsidRPr="00B71607">
        <w:t xml:space="preserve"> </w:t>
      </w:r>
      <w:r w:rsidRPr="00590252">
        <w:t>be</w:t>
      </w:r>
      <w:r w:rsidRPr="00B71607">
        <w:t xml:space="preserve"> </w:t>
      </w:r>
      <w:r w:rsidRPr="00590252">
        <w:t>ground</w:t>
      </w:r>
      <w:r w:rsidRPr="00B71607">
        <w:t xml:space="preserve"> </w:t>
      </w:r>
      <w:r w:rsidRPr="00590252">
        <w:t>out</w:t>
      </w:r>
      <w:r w:rsidRPr="00B71607">
        <w:t xml:space="preserve"> </w:t>
      </w:r>
      <w:r w:rsidRPr="00590252">
        <w:t>by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Walrasian</w:t>
      </w:r>
      <w:r w:rsidRPr="00B71607">
        <w:t xml:space="preserve"> </w:t>
      </w:r>
      <w:r w:rsidRPr="00590252">
        <w:t>system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general</w:t>
      </w:r>
      <w:r w:rsidRPr="00B71607">
        <w:t xml:space="preserve"> </w:t>
      </w:r>
      <w:r w:rsidRPr="00590252">
        <w:t>equilibrium</w:t>
      </w:r>
      <w:r w:rsidRPr="00B71607">
        <w:t xml:space="preserve"> </w:t>
      </w:r>
      <w:r w:rsidRPr="00590252">
        <w:t>equations,</w:t>
      </w:r>
      <w:r w:rsidRPr="00B71607">
        <w:t xml:space="preserve"> </w:t>
      </w:r>
      <w:r w:rsidRPr="00590252">
        <w:t>provided</w:t>
      </w:r>
      <w:r w:rsidRPr="00B71607">
        <w:t xml:space="preserve"> </w:t>
      </w:r>
      <w:r w:rsidRPr="00590252">
        <w:t>there</w:t>
      </w:r>
      <w:r w:rsidRPr="00B71607">
        <w:t xml:space="preserve"> </w:t>
      </w:r>
      <w:r w:rsidRPr="00590252">
        <w:t>is</w:t>
      </w:r>
      <w:r w:rsidRPr="00B71607">
        <w:t xml:space="preserve"> </w:t>
      </w:r>
      <w:r w:rsidRPr="00590252">
        <w:t>embedded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them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actual</w:t>
      </w:r>
      <w:r w:rsidRPr="00B71607">
        <w:t xml:space="preserve"> </w:t>
      </w:r>
      <w:r w:rsidRPr="00590252">
        <w:t>structural</w:t>
      </w:r>
      <w:r w:rsidRPr="00B71607">
        <w:t xml:space="preserve"> </w:t>
      </w:r>
      <w:r w:rsidRPr="00590252">
        <w:t>characteristics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labor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commodity</w:t>
      </w:r>
      <w:r w:rsidRPr="00B71607">
        <w:t xml:space="preserve"> </w:t>
      </w:r>
      <w:r w:rsidRPr="00590252">
        <w:t>markets,</w:t>
      </w:r>
      <w:r w:rsidRPr="00B71607">
        <w:t xml:space="preserve"> </w:t>
      </w:r>
      <w:r w:rsidRPr="00590252">
        <w:t>including</w:t>
      </w:r>
      <w:r w:rsidRPr="00B71607">
        <w:t xml:space="preserve"> </w:t>
      </w:r>
      <w:r w:rsidRPr="00590252">
        <w:t>market</w:t>
      </w:r>
      <w:r w:rsidRPr="00B71607">
        <w:t xml:space="preserve"> </w:t>
      </w:r>
      <w:r w:rsidRPr="00590252">
        <w:t>imperfections,</w:t>
      </w:r>
      <w:r w:rsidRPr="00B71607">
        <w:t xml:space="preserve"> </w:t>
      </w:r>
      <w:r w:rsidRPr="00590252">
        <w:t>stochastic</w:t>
      </w:r>
      <w:r w:rsidRPr="00B71607">
        <w:t xml:space="preserve"> </w:t>
      </w:r>
      <w:r w:rsidRPr="00590252">
        <w:t>variability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demands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supplies,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costs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gathering</w:t>
      </w:r>
      <w:r w:rsidRPr="00B71607">
        <w:t xml:space="preserve"> </w:t>
      </w:r>
      <w:r w:rsidRPr="00590252">
        <w:t>information</w:t>
      </w:r>
      <w:r w:rsidRPr="00B71607">
        <w:t xml:space="preserve"> </w:t>
      </w:r>
      <w:r w:rsidRPr="00590252">
        <w:t>about</w:t>
      </w:r>
      <w:r w:rsidRPr="00B71607">
        <w:t xml:space="preserve"> </w:t>
      </w:r>
      <w:r w:rsidRPr="00590252">
        <w:t>job</w:t>
      </w:r>
      <w:r w:rsidRPr="00B71607">
        <w:t xml:space="preserve"> </w:t>
      </w:r>
      <w:r w:rsidRPr="00590252">
        <w:t>vacancies,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labor</w:t>
      </w:r>
      <w:r w:rsidRPr="00B71607">
        <w:t xml:space="preserve"> </w:t>
      </w:r>
      <w:r w:rsidRPr="00590252">
        <w:t>availabilities,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costs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mobility,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so</w:t>
      </w:r>
      <w:r w:rsidRPr="00B71607">
        <w:t xml:space="preserve"> </w:t>
      </w:r>
      <w:r w:rsidRPr="00590252">
        <w:t>on.”</w:t>
      </w:r>
    </w:p>
  </w:endnote>
  <w:endnote w:id="8">
    <w:p w:rsidR="00BB1581" w:rsidRDefault="00BB1581" w:rsidP="005A5248">
      <w:pPr>
        <w:pStyle w:val="EndnoteText"/>
      </w:pPr>
      <w:r>
        <w:rPr>
          <w:rStyle w:val="EndnoteReference"/>
        </w:rPr>
        <w:endnoteRef/>
      </w:r>
      <w:r>
        <w:t xml:space="preserve"> New Classicals and New Keynesians differ in that the former see long-run adjustment as occurring instant</w:t>
      </w:r>
      <w:r>
        <w:t>a</w:t>
      </w:r>
      <w:r>
        <w:t xml:space="preserve">neously (but with random error). </w:t>
      </w:r>
      <w:r w:rsidR="00D72BD4">
        <w:t xml:space="preserve">Like Friedman (quoted above in note </w:t>
      </w:r>
      <w:r w:rsidR="00D72BD4">
        <w:fldChar w:fldCharType="begin"/>
      </w:r>
      <w:r w:rsidR="00D72BD4">
        <w:instrText xml:space="preserve"> NOTEREF _Ref414341583 \h </w:instrText>
      </w:r>
      <w:r w:rsidR="00D72BD4">
        <w:fldChar w:fldCharType="separate"/>
      </w:r>
      <w:r w:rsidR="00292438">
        <w:t>7</w:t>
      </w:r>
      <w:r w:rsidR="00D72BD4">
        <w:fldChar w:fldCharType="end"/>
      </w:r>
      <w:r w:rsidR="00D72BD4">
        <w:t xml:space="preserve">), the </w:t>
      </w:r>
      <w:r>
        <w:t>latter add “imperfections” to the Walrasian</w:t>
      </w:r>
      <w:r w:rsidR="00D72BD4">
        <w:t xml:space="preserve"> utopia</w:t>
      </w:r>
      <w:r>
        <w:t xml:space="preserve">, slowing adjustment (by causing frictions) and/or adding supply-side inefficiencies that limit the level of </w:t>
      </w:r>
      <w:r>
        <w:rPr>
          <w:b/>
        </w:rPr>
        <w:t>D</w:t>
      </w:r>
      <w:r>
        <w:t xml:space="preserve">, causing accelerating inflation even before all resources are efficiently utilized. </w:t>
      </w:r>
    </w:p>
  </w:endnote>
  <w:endnote w:id="9">
    <w:p w:rsidR="00BB1581" w:rsidRDefault="00BB1581" w:rsidP="006B3DED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See,</w:t>
      </w:r>
      <w:r w:rsidRPr="00B71607">
        <w:t xml:space="preserve"> </w:t>
      </w:r>
      <w:r>
        <w:t>for</w:t>
      </w:r>
      <w:r w:rsidRPr="00B71607">
        <w:t xml:space="preserve"> </w:t>
      </w:r>
      <w:r>
        <w:t>example,</w:t>
      </w:r>
      <w:r w:rsidRPr="00B71607">
        <w:t xml:space="preserve"> </w:t>
      </w:r>
      <w:r w:rsidR="00B634AF">
        <w:t xml:space="preserve"> Summers (2013). </w:t>
      </w:r>
    </w:p>
  </w:endnote>
  <w:endnote w:id="10">
    <w:p w:rsidR="00BB1581" w:rsidRPr="0040340B" w:rsidRDefault="00BB1581" w:rsidP="006B3DED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For</w:t>
      </w:r>
      <w:r w:rsidRPr="00B71607">
        <w:t xml:space="preserve"> </w:t>
      </w:r>
      <w:r>
        <w:t>simplicity,</w:t>
      </w:r>
      <w:r w:rsidRPr="00B71607">
        <w:t xml:space="preserve"> </w:t>
      </w:r>
      <w:r>
        <w:t>I</w:t>
      </w:r>
      <w:r w:rsidRPr="00B71607">
        <w:t xml:space="preserve"> </w:t>
      </w:r>
      <w:r>
        <w:t>follow</w:t>
      </w:r>
      <w:r w:rsidRPr="00B71607">
        <w:t xml:space="preserve"> </w:t>
      </w:r>
      <w:r w:rsidRPr="00D4213A">
        <w:rPr>
          <w:noProof/>
        </w:rPr>
        <w:t>Harrod</w:t>
      </w:r>
      <w:r w:rsidRPr="00B71607">
        <w:t xml:space="preserve"> </w:t>
      </w:r>
      <w:r>
        <w:t>to</w:t>
      </w:r>
      <w:r w:rsidRPr="00B71607">
        <w:t xml:space="preserve"> </w:t>
      </w:r>
      <w:r>
        <w:t>assume</w:t>
      </w:r>
      <w:r w:rsidRPr="00B71607">
        <w:t xml:space="preserve"> </w:t>
      </w:r>
      <w:r>
        <w:t>that</w:t>
      </w:r>
      <w:r w:rsidRPr="00B71607">
        <w:t xml:space="preserve"> </w:t>
      </w:r>
      <w:r>
        <w:t>planned</w:t>
      </w:r>
      <w:r w:rsidRPr="00B71607">
        <w:t xml:space="preserve"> </w:t>
      </w:r>
      <w:r>
        <w:t>fixed</w:t>
      </w:r>
      <w:r w:rsidRPr="00B71607">
        <w:t xml:space="preserve"> </w:t>
      </w:r>
      <w:r>
        <w:t>investment</w:t>
      </w:r>
      <w:r w:rsidRPr="00B71607">
        <w:t xml:space="preserve"> </w:t>
      </w:r>
      <w:r>
        <w:t>includes</w:t>
      </w:r>
      <w:r w:rsidRPr="00B71607">
        <w:t xml:space="preserve"> </w:t>
      </w:r>
      <w:r>
        <w:t>desired</w:t>
      </w:r>
      <w:r w:rsidRPr="00B71607">
        <w:t xml:space="preserve"> </w:t>
      </w:r>
      <w:r>
        <w:t>inventory</w:t>
      </w:r>
      <w:r w:rsidRPr="00B71607">
        <w:t xml:space="preserve"> </w:t>
      </w:r>
      <w:r>
        <w:t>accum</w:t>
      </w:r>
      <w:r>
        <w:t>u</w:t>
      </w:r>
      <w:r>
        <w:t>lation.</w:t>
      </w:r>
      <w:r w:rsidRPr="00B71607">
        <w:t xml:space="preserve"> </w:t>
      </w:r>
      <w:r>
        <w:t>The</w:t>
      </w:r>
      <w:r w:rsidRPr="00B71607">
        <w:t xml:space="preserve"> </w:t>
      </w:r>
      <w:r>
        <w:t>normal</w:t>
      </w:r>
      <w:r w:rsidRPr="00B71607">
        <w:t xml:space="preserve"> </w:t>
      </w:r>
      <w:r>
        <w:t>ratio</w:t>
      </w:r>
      <w:r w:rsidRPr="00B71607">
        <w:t xml:space="preserve"> </w:t>
      </w:r>
      <w:r>
        <w:t>between</w:t>
      </w:r>
      <w:r w:rsidRPr="00B71607">
        <w:t xml:space="preserve"> </w:t>
      </w:r>
      <w:r>
        <w:t>these</w:t>
      </w:r>
      <w:r w:rsidRPr="00B71607">
        <w:t xml:space="preserve"> </w:t>
      </w:r>
      <w:r>
        <w:t>two</w:t>
      </w:r>
      <w:r w:rsidRPr="00B71607">
        <w:t xml:space="preserve"> </w:t>
      </w:r>
      <w:r>
        <w:t>helps</w:t>
      </w:r>
      <w:r w:rsidRPr="00B71607">
        <w:t xml:space="preserve"> </w:t>
      </w:r>
      <w:r>
        <w:t>to</w:t>
      </w:r>
      <w:r w:rsidRPr="00B71607">
        <w:t xml:space="preserve"> </w:t>
      </w:r>
      <w:r>
        <w:t>determine</w:t>
      </w:r>
      <w:r w:rsidRPr="00B71607">
        <w:t xml:space="preserve"> </w:t>
      </w:r>
      <w:r>
        <w:rPr>
          <w:b/>
          <w:i/>
        </w:rPr>
        <w:t>c</w:t>
      </w:r>
      <w:r>
        <w:t>.</w:t>
      </w:r>
    </w:p>
  </w:endnote>
  <w:endnote w:id="11">
    <w:p w:rsidR="00BB1581" w:rsidRDefault="00BB1581" w:rsidP="006B3DED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The</w:t>
      </w:r>
      <w:r w:rsidRPr="00B71607">
        <w:t xml:space="preserve"> </w:t>
      </w:r>
      <w:r w:rsidR="00277F17">
        <w:t xml:space="preserve">use of </w:t>
      </w:r>
      <w:r>
        <w:t>different</w:t>
      </w:r>
      <w:r w:rsidRPr="00B71607">
        <w:t xml:space="preserve"> </w:t>
      </w:r>
      <w:r>
        <w:t>“runs</w:t>
      </w:r>
      <w:r w:rsidRPr="008E4FD9">
        <w:t>”</w:t>
      </w:r>
      <w:r w:rsidRPr="00B71607">
        <w:t xml:space="preserve"> </w:t>
      </w:r>
      <w:r w:rsidRPr="008E4FD9">
        <w:t>aim</w:t>
      </w:r>
      <w:r w:rsidR="00277F17">
        <w:t>s</w:t>
      </w:r>
      <w:r w:rsidRPr="00B71607">
        <w:t xml:space="preserve"> </w:t>
      </w:r>
      <w:r w:rsidRPr="008E4FD9">
        <w:t>to</w:t>
      </w:r>
      <w:r w:rsidRPr="00B71607">
        <w:t xml:space="preserve"> </w:t>
      </w:r>
      <w:r>
        <w:t>describe</w:t>
      </w:r>
      <w:r w:rsidRPr="00B71607">
        <w:t xml:space="preserve"> </w:t>
      </w:r>
      <w:r w:rsidRPr="008E4FD9">
        <w:t>what</w:t>
      </w:r>
      <w:r w:rsidRPr="00B71607">
        <w:t xml:space="preserve"> </w:t>
      </w:r>
      <w:r w:rsidRPr="008E4FD9">
        <w:t>Robinson</w:t>
      </w:r>
      <w:r w:rsidRPr="00B71607">
        <w:t xml:space="preserve"> </w:t>
      </w:r>
      <w:r w:rsidRPr="008E4FD9">
        <w:t>(1970)</w:t>
      </w:r>
      <w:r w:rsidRPr="00B71607">
        <w:t xml:space="preserve"> </w:t>
      </w:r>
      <w:r w:rsidRPr="008E4FD9">
        <w:t>calls</w:t>
      </w:r>
      <w:r w:rsidRPr="00B71607">
        <w:t xml:space="preserve"> </w:t>
      </w:r>
      <w:r w:rsidRPr="008E4FD9">
        <w:t>“historical</w:t>
      </w:r>
      <w:r w:rsidRPr="00B71607">
        <w:t xml:space="preserve"> </w:t>
      </w:r>
      <w:r w:rsidRPr="008E4FD9">
        <w:t>time”</w:t>
      </w:r>
      <w:r w:rsidRPr="00B71607">
        <w:t xml:space="preserve"> </w:t>
      </w:r>
      <w:r w:rsidRPr="008E4FD9">
        <w:t>(</w:t>
      </w:r>
      <w:r>
        <w:t>in</w:t>
      </w:r>
      <w:r w:rsidRPr="00B71607">
        <w:t xml:space="preserve"> </w:t>
      </w:r>
      <w:r>
        <w:t>contrast</w:t>
      </w:r>
      <w:r w:rsidRPr="00B71607">
        <w:t xml:space="preserve"> </w:t>
      </w:r>
      <w:r w:rsidRPr="008E4FD9">
        <w:t>to</w:t>
      </w:r>
      <w:r w:rsidRPr="00B71607">
        <w:t xml:space="preserve"> </w:t>
      </w:r>
      <w:r w:rsidRPr="008E4FD9">
        <w:t>the</w:t>
      </w:r>
      <w:r w:rsidRPr="00B71607">
        <w:t xml:space="preserve"> </w:t>
      </w:r>
      <w:r w:rsidRPr="008E4FD9">
        <w:t>merely</w:t>
      </w:r>
      <w:r w:rsidRPr="00B71607">
        <w:t xml:space="preserve"> </w:t>
      </w:r>
      <w:r w:rsidRPr="008E4FD9">
        <w:t>“logical”</w:t>
      </w:r>
      <w:r w:rsidRPr="00B71607">
        <w:t xml:space="preserve"> </w:t>
      </w:r>
      <w:r>
        <w:t>and</w:t>
      </w:r>
      <w:r w:rsidRPr="00B71607">
        <w:t xml:space="preserve"> </w:t>
      </w:r>
      <w:r>
        <w:t>totally</w:t>
      </w:r>
      <w:r w:rsidRPr="00B71607">
        <w:t xml:space="preserve"> </w:t>
      </w:r>
      <w:r>
        <w:t>reversible</w:t>
      </w:r>
      <w:r w:rsidRPr="00B71607">
        <w:t xml:space="preserve"> </w:t>
      </w:r>
      <w:r w:rsidRPr="008E4FD9">
        <w:t>time</w:t>
      </w:r>
      <w:r w:rsidRPr="00B71607">
        <w:t xml:space="preserve"> </w:t>
      </w:r>
      <w:r w:rsidRPr="008E4FD9">
        <w:t>of</w:t>
      </w:r>
      <w:r w:rsidRPr="00B71607">
        <w:t xml:space="preserve"> </w:t>
      </w:r>
      <w:r w:rsidRPr="008E4FD9">
        <w:t>NC</w:t>
      </w:r>
      <w:r w:rsidRPr="00B71607">
        <w:t xml:space="preserve"> </w:t>
      </w:r>
      <w:r>
        <w:t>comparative</w:t>
      </w:r>
      <w:r w:rsidRPr="00B71607">
        <w:t xml:space="preserve"> </w:t>
      </w:r>
      <w:r>
        <w:t>statics</w:t>
      </w:r>
      <w:r w:rsidRPr="008E4FD9">
        <w:t>)</w:t>
      </w:r>
      <w:r w:rsidRPr="00B71607">
        <w:t xml:space="preserve"> </w:t>
      </w:r>
      <w:r w:rsidRPr="008E4FD9">
        <w:t>without</w:t>
      </w:r>
      <w:r w:rsidRPr="00B71607">
        <w:t xml:space="preserve"> </w:t>
      </w:r>
      <w:r w:rsidRPr="008E4FD9">
        <w:t>the</w:t>
      </w:r>
      <w:r w:rsidRPr="00B71607">
        <w:t xml:space="preserve"> </w:t>
      </w:r>
      <w:r w:rsidRPr="008E4FD9">
        <w:t>unaesthetic</w:t>
      </w:r>
      <w:r w:rsidRPr="00B71607">
        <w:t xml:space="preserve"> </w:t>
      </w:r>
      <w:r w:rsidRPr="008E4FD9">
        <w:t>use</w:t>
      </w:r>
      <w:r w:rsidRPr="00B71607">
        <w:t xml:space="preserve"> </w:t>
      </w:r>
      <w:r w:rsidRPr="008E4FD9">
        <w:t>of</w:t>
      </w:r>
      <w:r w:rsidRPr="00B71607">
        <w:t xml:space="preserve"> </w:t>
      </w:r>
      <w:r w:rsidRPr="008E4FD9">
        <w:t>time</w:t>
      </w:r>
      <w:r w:rsidRPr="00B71607">
        <w:t xml:space="preserve"> </w:t>
      </w:r>
      <w:r w:rsidRPr="008E4FD9">
        <w:t>su</w:t>
      </w:r>
      <w:r w:rsidRPr="008E4FD9">
        <w:t>b</w:t>
      </w:r>
      <w:r w:rsidRPr="008E4FD9">
        <w:t>scripts.</w:t>
      </w:r>
    </w:p>
  </w:endnote>
  <w:endnote w:id="12">
    <w:p w:rsidR="00BB1581" w:rsidRPr="00590252" w:rsidRDefault="00BB1581" w:rsidP="006B3DED">
      <w:pPr>
        <w:pStyle w:val="EndnoteText"/>
      </w:pPr>
      <w:r w:rsidRPr="00590252">
        <w:rPr>
          <w:rStyle w:val="EndnoteReference"/>
        </w:rPr>
        <w:endnoteRef/>
      </w:r>
      <w:r w:rsidRPr="00B71607">
        <w:t xml:space="preserve"> </w:t>
      </w:r>
      <w:r>
        <w:t>S</w:t>
      </w:r>
      <w:r w:rsidRPr="00590252">
        <w:t>aving</w:t>
      </w:r>
      <w:r w:rsidRPr="00B71607">
        <w:t xml:space="preserve"> </w:t>
      </w:r>
      <w:r w:rsidRPr="00590252">
        <w:t>to</w:t>
      </w:r>
      <w:r w:rsidRPr="00B71607">
        <w:t xml:space="preserve"> </w:t>
      </w:r>
      <w:r w:rsidRPr="00590252">
        <w:t>buy</w:t>
      </w:r>
      <w:r w:rsidRPr="00B71607">
        <w:t xml:space="preserve"> </w:t>
      </w:r>
      <w:r w:rsidRPr="00590252">
        <w:t>a</w:t>
      </w:r>
      <w:r w:rsidRPr="00B71607">
        <w:t xml:space="preserve"> </w:t>
      </w:r>
      <w:r w:rsidRPr="00590252">
        <w:t>house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future</w:t>
      </w:r>
      <w:r w:rsidRPr="00B71607">
        <w:t xml:space="preserve"> </w:t>
      </w:r>
      <w:r w:rsidRPr="00590252">
        <w:t>(for</w:t>
      </w:r>
      <w:r w:rsidRPr="00B71607">
        <w:t xml:space="preserve"> </w:t>
      </w:r>
      <w:r w:rsidRPr="00590252">
        <w:t>example)</w:t>
      </w:r>
      <w:r w:rsidRPr="00B71607">
        <w:t xml:space="preserve"> </w:t>
      </w:r>
      <w:r w:rsidRPr="00590252">
        <w:t>almost</w:t>
      </w:r>
      <w:r w:rsidRPr="00B71607">
        <w:t xml:space="preserve"> </w:t>
      </w:r>
      <w:r w:rsidRPr="00590252">
        <w:t>never</w:t>
      </w:r>
      <w:r w:rsidRPr="00B71607">
        <w:t xml:space="preserve"> </w:t>
      </w:r>
      <w:r w:rsidRPr="00590252">
        <w:t>creates</w:t>
      </w:r>
      <w:r w:rsidRPr="00B71607">
        <w:t xml:space="preserve"> </w:t>
      </w:r>
      <w:r w:rsidRPr="00590252">
        <w:t>an</w:t>
      </w:r>
      <w:r w:rsidRPr="00B71607">
        <w:t xml:space="preserve"> </w:t>
      </w:r>
      <w:r w:rsidRPr="00590252">
        <w:t>order</w:t>
      </w:r>
      <w:r w:rsidRPr="00B71607">
        <w:t xml:space="preserve"> </w:t>
      </w:r>
      <w:r w:rsidRPr="00590252">
        <w:t>for</w:t>
      </w:r>
      <w:r w:rsidRPr="00B71607">
        <w:t xml:space="preserve"> </w:t>
      </w:r>
      <w:r w:rsidRPr="00590252">
        <w:t>delivery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a</w:t>
      </w:r>
      <w:r w:rsidRPr="00B71607">
        <w:t xml:space="preserve"> </w:t>
      </w:r>
      <w:r w:rsidRPr="00590252">
        <w:t>house</w:t>
      </w:r>
      <w:r w:rsidRPr="00B71607">
        <w:t xml:space="preserve"> </w:t>
      </w:r>
      <w:r>
        <w:t>at</w:t>
      </w:r>
      <w:r w:rsidRPr="00B71607">
        <w:t xml:space="preserve"> </w:t>
      </w:r>
      <w:r>
        <w:t>some</w:t>
      </w:r>
      <w:r w:rsidRPr="00B71607">
        <w:t xml:space="preserve"> </w:t>
      </w:r>
      <w:r>
        <w:t>future</w:t>
      </w:r>
      <w:r w:rsidRPr="00B71607">
        <w:t xml:space="preserve"> </w:t>
      </w:r>
      <w:r>
        <w:t>time</w:t>
      </w:r>
      <w:r w:rsidRPr="00590252">
        <w:t>.</w:t>
      </w:r>
      <w:r w:rsidRPr="00B71607">
        <w:t xml:space="preserve"> </w:t>
      </w:r>
      <w:r w:rsidRPr="00590252">
        <w:t>It</w:t>
      </w:r>
      <w:r w:rsidRPr="00B71607">
        <w:t xml:space="preserve"> </w:t>
      </w:r>
      <w:r w:rsidRPr="00590252">
        <w:t>thus</w:t>
      </w:r>
      <w:r w:rsidRPr="00B71607">
        <w:t xml:space="preserve"> </w:t>
      </w:r>
      <w:r w:rsidRPr="00590252">
        <w:t>does</w:t>
      </w:r>
      <w:r w:rsidRPr="00B71607">
        <w:t xml:space="preserve"> </w:t>
      </w:r>
      <w:r w:rsidRPr="00590252">
        <w:t>not</w:t>
      </w:r>
      <w:r w:rsidRPr="00B71607">
        <w:t xml:space="preserve"> </w:t>
      </w:r>
      <w:r w:rsidRPr="00590252">
        <w:t>cause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fixed</w:t>
      </w:r>
      <w:r w:rsidRPr="00B71607">
        <w:t xml:space="preserve"> </w:t>
      </w:r>
      <w:r w:rsidRPr="00590252">
        <w:t>investment</w:t>
      </w:r>
      <w:r w:rsidRPr="00B71607">
        <w:t xml:space="preserve"> </w:t>
      </w:r>
      <w:r w:rsidRPr="00590252">
        <w:t>needed</w:t>
      </w:r>
      <w:r w:rsidRPr="00B71607">
        <w:t xml:space="preserve"> </w:t>
      </w:r>
      <w:r w:rsidRPr="00590252">
        <w:t>to</w:t>
      </w:r>
      <w:r w:rsidRPr="00B71607">
        <w:t xml:space="preserve"> </w:t>
      </w:r>
      <w:r w:rsidRPr="00590252">
        <w:t>produce</w:t>
      </w:r>
      <w:r w:rsidRPr="00B71607">
        <w:t xml:space="preserve"> </w:t>
      </w:r>
      <w:r w:rsidRPr="00590252">
        <w:t>it.</w:t>
      </w:r>
    </w:p>
  </w:endnote>
  <w:endnote w:id="13">
    <w:p w:rsidR="00BB1581" w:rsidRDefault="00BB1581" w:rsidP="006B3DED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The</w:t>
      </w:r>
      <w:r w:rsidRPr="00B71607">
        <w:t xml:space="preserve"> </w:t>
      </w:r>
      <w:r>
        <w:t>NC</w:t>
      </w:r>
      <w:r w:rsidRPr="00B71607">
        <w:t xml:space="preserve"> </w:t>
      </w:r>
      <w:r>
        <w:t>assumption</w:t>
      </w:r>
      <w:r w:rsidRPr="00B71607">
        <w:t xml:space="preserve"> </w:t>
      </w:r>
      <w:r>
        <w:t>that</w:t>
      </w:r>
      <w:r w:rsidRPr="00B71607">
        <w:t xml:space="preserve"> </w:t>
      </w:r>
      <w:r>
        <w:t>saving</w:t>
      </w:r>
      <w:r w:rsidRPr="00B71607">
        <w:t xml:space="preserve"> </w:t>
      </w:r>
      <w:r>
        <w:t>determines</w:t>
      </w:r>
      <w:r w:rsidRPr="00B71607">
        <w:t xml:space="preserve"> </w:t>
      </w:r>
      <w:r>
        <w:t>investment</w:t>
      </w:r>
      <w:r w:rsidRPr="00B71607">
        <w:t xml:space="preserve"> </w:t>
      </w:r>
      <w:r>
        <w:t>seems</w:t>
      </w:r>
      <w:r w:rsidRPr="00B71607">
        <w:t xml:space="preserve"> </w:t>
      </w:r>
      <w:r>
        <w:t>based</w:t>
      </w:r>
      <w:r w:rsidRPr="00B71607">
        <w:t xml:space="preserve"> </w:t>
      </w:r>
      <w:r>
        <w:t>on</w:t>
      </w:r>
      <w:r w:rsidRPr="00B71607">
        <w:t xml:space="preserve"> </w:t>
      </w:r>
      <w:r>
        <w:t>either</w:t>
      </w:r>
      <w:r w:rsidRPr="00B71607">
        <w:t xml:space="preserve"> </w:t>
      </w:r>
      <w:r>
        <w:t>Say’s</w:t>
      </w:r>
      <w:r w:rsidRPr="00B71607">
        <w:t xml:space="preserve"> </w:t>
      </w:r>
      <w:r>
        <w:t>axiom</w:t>
      </w:r>
      <w:r w:rsidRPr="00B71607">
        <w:t xml:space="preserve"> </w:t>
      </w:r>
      <w:r>
        <w:t>or</w:t>
      </w:r>
      <w:r w:rsidRPr="00B71607">
        <w:t xml:space="preserve"> </w:t>
      </w:r>
      <w:r>
        <w:t>the</w:t>
      </w:r>
      <w:r w:rsidRPr="00B71607">
        <w:t xml:space="preserve"> </w:t>
      </w:r>
      <w:r w:rsidR="00277F17">
        <w:t xml:space="preserve">more </w:t>
      </w:r>
      <w:r>
        <w:t>fu</w:t>
      </w:r>
      <w:r>
        <w:t>n</w:t>
      </w:r>
      <w:r>
        <w:t>damental</w:t>
      </w:r>
      <w:r w:rsidRPr="00B71607">
        <w:t xml:space="preserve"> </w:t>
      </w:r>
      <w:r>
        <w:t>assumption</w:t>
      </w:r>
      <w:r w:rsidRPr="00B71607">
        <w:t xml:space="preserve"> </w:t>
      </w:r>
      <w:r>
        <w:t>that</w:t>
      </w:r>
      <w:r w:rsidRPr="00B71607">
        <w:t xml:space="preserve"> </w:t>
      </w:r>
      <w:r>
        <w:rPr>
          <w:b/>
        </w:rPr>
        <w:t>Y</w:t>
      </w:r>
      <w:r w:rsidRPr="00B71607">
        <w:t xml:space="preserve"> </w:t>
      </w:r>
      <w:r>
        <w:t>=</w:t>
      </w:r>
      <w:r w:rsidRPr="00B71607">
        <w:t xml:space="preserve"> </w:t>
      </w:r>
      <w:r>
        <w:rPr>
          <w:b/>
        </w:rPr>
        <w:t>F</w:t>
      </w:r>
      <w:r w:rsidRPr="00B71607">
        <w:t xml:space="preserve"> </w:t>
      </w:r>
      <w:r>
        <w:t>in</w:t>
      </w:r>
      <w:r w:rsidRPr="00B71607">
        <w:t xml:space="preserve"> </w:t>
      </w:r>
      <w:r>
        <w:t>the</w:t>
      </w:r>
      <w:r w:rsidRPr="00B71607">
        <w:t xml:space="preserve"> </w:t>
      </w:r>
      <w:r>
        <w:t>“long</w:t>
      </w:r>
      <w:r w:rsidRPr="00B71607">
        <w:t xml:space="preserve"> </w:t>
      </w:r>
      <w:r>
        <w:t>run.”</w:t>
      </w:r>
    </w:p>
  </w:endnote>
  <w:endnote w:id="14">
    <w:p w:rsidR="00BB1581" w:rsidRPr="00926A80" w:rsidRDefault="00BB1581" w:rsidP="006B3DED">
      <w:pPr>
        <w:pStyle w:val="EndnoteText"/>
      </w:pPr>
      <w:r w:rsidRPr="00590252">
        <w:rPr>
          <w:rStyle w:val="EndnoteReference"/>
          <w:b/>
          <w:smallCaps/>
        </w:rPr>
        <w:endnoteRef/>
      </w:r>
      <w:r w:rsidRPr="00B71607">
        <w:t xml:space="preserve"> </w:t>
      </w:r>
      <w:r w:rsidRPr="00590252">
        <w:t>This</w:t>
      </w:r>
      <w:r w:rsidRPr="00B71607">
        <w:t xml:space="preserve"> </w:t>
      </w:r>
      <w:r w:rsidRPr="00590252">
        <w:t>follows</w:t>
      </w:r>
      <w:r w:rsidRPr="00B71607">
        <w:t xml:space="preserve"> </w:t>
      </w:r>
      <w:r w:rsidRPr="00590252">
        <w:t>Kalecki’s</w:t>
      </w:r>
      <w:r w:rsidRPr="00B71607">
        <w:t xml:space="preserve"> </w:t>
      </w:r>
      <w:r w:rsidRPr="00590252">
        <w:t>(1943)</w:t>
      </w:r>
      <w:r w:rsidRPr="00B71607">
        <w:t xml:space="preserve"> </w:t>
      </w:r>
      <w:r w:rsidRPr="00590252">
        <w:t>distinction</w:t>
      </w:r>
      <w:r w:rsidRPr="00B71607">
        <w:t xml:space="preserve"> </w:t>
      </w:r>
      <w:r w:rsidRPr="00590252">
        <w:t>between</w:t>
      </w:r>
      <w:r w:rsidRPr="00B71607">
        <w:t xml:space="preserve"> </w:t>
      </w:r>
      <w:r w:rsidRPr="00590252">
        <w:t>sectors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which</w:t>
      </w:r>
      <w:r w:rsidRPr="00B71607">
        <w:t xml:space="preserve"> </w:t>
      </w:r>
      <w:r w:rsidRPr="00590252">
        <w:t>prices</w:t>
      </w:r>
      <w:r w:rsidRPr="00B71607">
        <w:t xml:space="preserve"> </w:t>
      </w:r>
      <w:r w:rsidRPr="00590252">
        <w:t>are</w:t>
      </w:r>
      <w:r w:rsidRPr="00B71607">
        <w:t xml:space="preserve"> </w:t>
      </w:r>
      <w:r w:rsidRPr="00590252">
        <w:t>“cost-determined”</w:t>
      </w:r>
      <w:r w:rsidRPr="00B71607">
        <w:t xml:space="preserve"> </w:t>
      </w:r>
      <w:r w:rsidRPr="00590252">
        <w:t>and</w:t>
      </w:r>
      <w:r w:rsidRPr="00B71607">
        <w:t xml:space="preserve"> </w:t>
      </w:r>
      <w:r w:rsidRPr="00590252">
        <w:t>those</w:t>
      </w:r>
      <w:r w:rsidRPr="00B71607">
        <w:t xml:space="preserve"> </w:t>
      </w:r>
      <w:r w:rsidRPr="00590252">
        <w:t>primary-product</w:t>
      </w:r>
      <w:r w:rsidRPr="00B71607">
        <w:t xml:space="preserve"> </w:t>
      </w:r>
      <w:r w:rsidRPr="00590252">
        <w:t>sectors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which</w:t>
      </w:r>
      <w:r w:rsidRPr="00B71607">
        <w:t xml:space="preserve"> </w:t>
      </w:r>
      <w:r w:rsidRPr="00590252">
        <w:t>prices</w:t>
      </w:r>
      <w:r w:rsidRPr="00B71607">
        <w:t xml:space="preserve"> </w:t>
      </w:r>
      <w:r w:rsidRPr="00590252">
        <w:t>are</w:t>
      </w:r>
      <w:r w:rsidRPr="00B71607">
        <w:t xml:space="preserve"> </w:t>
      </w:r>
      <w:r w:rsidRPr="00590252">
        <w:t>“demand-determined</w:t>
      </w:r>
      <w:r>
        <w:t>,</w:t>
      </w:r>
      <w:r w:rsidRPr="00590252">
        <w:t>”</w:t>
      </w:r>
      <w:r w:rsidRPr="00B71607">
        <w:t xml:space="preserve"> </w:t>
      </w:r>
      <w:r w:rsidRPr="00590252">
        <w:t>initially</w:t>
      </w:r>
      <w:r w:rsidRPr="00B71607">
        <w:t xml:space="preserve"> </w:t>
      </w:r>
      <w:r w:rsidRPr="00590252">
        <w:t>ignor</w:t>
      </w:r>
      <w:r>
        <w:t>ing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latt</w:t>
      </w:r>
      <w:r w:rsidRPr="00590252">
        <w:rPr>
          <w:rFonts w:eastAsiaTheme="minorEastAsia"/>
        </w:rPr>
        <w:t>er.</w:t>
      </w:r>
      <w:r w:rsidR="00316715">
        <w:rPr>
          <w:rFonts w:eastAsiaTheme="minorEastAsia"/>
        </w:rPr>
        <w:t xml:space="preserve"> Note that</w:t>
      </w:r>
      <w:r w:rsidRPr="00590252">
        <w:rPr>
          <w:rFonts w:eastAsiaTheme="minorEastAsia"/>
        </w:rPr>
        <w:t>,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average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fixed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costs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fall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steadily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as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  <w:b/>
          <w:i/>
        </w:rPr>
        <w:t>y</w:t>
      </w:r>
      <w:r w:rsidRPr="00B71607">
        <w:rPr>
          <w:rFonts w:eastAsiaTheme="minorEastAsia"/>
        </w:rPr>
        <w:t xml:space="preserve"> </w:t>
      </w:r>
      <w:r w:rsidRPr="00590252">
        <w:rPr>
          <w:rFonts w:eastAsiaTheme="minorEastAsia"/>
        </w:rPr>
        <w:t>rises.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This</w:t>
      </w:r>
      <w:r w:rsidRPr="00B71607">
        <w:rPr>
          <w:rFonts w:eastAsiaTheme="minorEastAsia"/>
        </w:rPr>
        <w:t xml:space="preserve"> </w:t>
      </w:r>
      <w:r w:rsidR="00316715">
        <w:rPr>
          <w:rFonts w:eastAsiaTheme="minorEastAsia"/>
        </w:rPr>
        <w:t xml:space="preserve">part of </w:t>
      </w:r>
      <w:r>
        <w:rPr>
          <w:rFonts w:eastAsiaTheme="minorEastAsia"/>
        </w:rPr>
        <w:t>KSR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analysis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holds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the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prices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inputs</w:t>
      </w:r>
      <w:r w:rsidRPr="00B71607">
        <w:rPr>
          <w:rFonts w:eastAsiaTheme="minorEastAsia"/>
        </w:rPr>
        <w:t xml:space="preserve"> </w:t>
      </w:r>
      <w:r>
        <w:rPr>
          <w:rFonts w:eastAsiaTheme="minorEastAsia"/>
        </w:rPr>
        <w:t>constant.</w:t>
      </w:r>
      <w:r w:rsidRPr="00B71607">
        <w:rPr>
          <w:rFonts w:eastAsiaTheme="minorEastAsia"/>
        </w:rPr>
        <w:t xml:space="preserve"> </w:t>
      </w:r>
    </w:p>
  </w:endnote>
  <w:endnote w:id="15">
    <w:p w:rsidR="00BB1581" w:rsidRPr="00590252" w:rsidRDefault="00BB1581" w:rsidP="006B3DED">
      <w:pPr>
        <w:pStyle w:val="EndnoteText"/>
      </w:pPr>
      <w:r w:rsidRPr="00590252">
        <w:rPr>
          <w:rStyle w:val="EndnoteReference"/>
        </w:rPr>
        <w:endnoteRef/>
      </w:r>
      <w:r w:rsidRPr="00B71607">
        <w:t xml:space="preserve"> </w:t>
      </w:r>
      <w:r>
        <w:t>This</w:t>
      </w:r>
      <w:r w:rsidRPr="00B71607">
        <w:t xml:space="preserve"> </w:t>
      </w:r>
      <w:r>
        <w:t>means</w:t>
      </w:r>
      <w:r w:rsidRPr="00B71607">
        <w:t xml:space="preserve"> </w:t>
      </w:r>
      <w:r>
        <w:t>that</w:t>
      </w:r>
      <w:r w:rsidRPr="00B71607">
        <w:t xml:space="preserve"> </w:t>
      </w:r>
      <w:r w:rsidRPr="00590252">
        <w:t>I</w:t>
      </w:r>
      <w:r w:rsidRPr="00B71607">
        <w:t xml:space="preserve"> </w:t>
      </w:r>
      <w:r w:rsidRPr="00590252">
        <w:t>deliberate</w:t>
      </w:r>
      <w:r>
        <w:t>ly</w:t>
      </w:r>
      <w:r w:rsidRPr="00B71607">
        <w:t xml:space="preserve"> </w:t>
      </w:r>
      <w:r w:rsidRPr="00590252">
        <w:t>emulate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NC</w:t>
      </w:r>
      <w:r w:rsidRPr="00B71607">
        <w:t xml:space="preserve"> </w:t>
      </w:r>
      <w:r>
        <w:t>school’s</w:t>
      </w:r>
      <w:r w:rsidRPr="00B71607">
        <w:t xml:space="preserve"> </w:t>
      </w:r>
      <w:r w:rsidR="00316715">
        <w:t xml:space="preserve">dismissal or </w:t>
      </w:r>
      <w:r>
        <w:t>willful</w:t>
      </w:r>
      <w:r w:rsidRPr="00B71607">
        <w:t xml:space="preserve"> </w:t>
      </w:r>
      <w:r>
        <w:t>ignorance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the</w:t>
      </w:r>
      <w:r w:rsidRPr="00B71607">
        <w:t xml:space="preserve"> </w:t>
      </w:r>
      <w:r>
        <w:t>Cambridge</w:t>
      </w:r>
      <w:r w:rsidRPr="00B71607">
        <w:t xml:space="preserve"> </w:t>
      </w:r>
      <w:r w:rsidRPr="00590252">
        <w:t>Cap</w:t>
      </w:r>
      <w:r w:rsidRPr="00590252">
        <w:t>i</w:t>
      </w:r>
      <w:r w:rsidRPr="00590252">
        <w:t>tal</w:t>
      </w:r>
      <w:r w:rsidRPr="00B71607">
        <w:t xml:space="preserve"> </w:t>
      </w:r>
      <w:r w:rsidRPr="00590252">
        <w:t>Controversy</w:t>
      </w:r>
      <w:r w:rsidRPr="00B71607">
        <w:t xml:space="preserve"> </w:t>
      </w:r>
      <w:r w:rsidRPr="00590252">
        <w:t>which</w:t>
      </w:r>
      <w:r w:rsidRPr="00B71607">
        <w:t xml:space="preserve"> </w:t>
      </w:r>
      <w:r w:rsidRPr="00590252">
        <w:t>debunked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aggregate</w:t>
      </w:r>
      <w:r w:rsidRPr="00B71607">
        <w:t xml:space="preserve"> </w:t>
      </w:r>
      <w:r w:rsidRPr="00590252">
        <w:t>production</w:t>
      </w:r>
      <w:r w:rsidRPr="00B71607">
        <w:t xml:space="preserve"> </w:t>
      </w:r>
      <w:r w:rsidRPr="00590252">
        <w:t>function</w:t>
      </w:r>
      <w:r w:rsidRPr="00B71607">
        <w:t xml:space="preserve"> </w:t>
      </w:r>
      <w:r w:rsidRPr="00590252">
        <w:t>on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field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theoretical</w:t>
      </w:r>
      <w:r w:rsidRPr="00B71607">
        <w:t xml:space="preserve"> </w:t>
      </w:r>
      <w:r w:rsidRPr="00590252">
        <w:t>battle</w:t>
      </w:r>
      <w:r w:rsidRPr="00B71607">
        <w:t xml:space="preserve"> </w:t>
      </w:r>
      <w:r w:rsidRPr="00590252">
        <w:t>(cf.</w:t>
      </w:r>
      <w:r w:rsidRPr="00B71607">
        <w:t xml:space="preserve"> </w:t>
      </w:r>
      <w:r w:rsidRPr="00590252">
        <w:t>Sa</w:t>
      </w:r>
      <w:r w:rsidRPr="00590252">
        <w:t>m</w:t>
      </w:r>
      <w:r w:rsidRPr="00590252">
        <w:t>uelson,</w:t>
      </w:r>
      <w:r w:rsidRPr="00B71607">
        <w:t xml:space="preserve"> </w:t>
      </w:r>
      <w:r w:rsidRPr="00590252">
        <w:t>1966).</w:t>
      </w:r>
      <w:r w:rsidRPr="00B71607">
        <w:t xml:space="preserve"> </w:t>
      </w:r>
      <w:r>
        <w:t>Aggregation</w:t>
      </w:r>
      <w:r w:rsidRPr="00B71607">
        <w:t xml:space="preserve"> </w:t>
      </w:r>
      <w:r>
        <w:t>of</w:t>
      </w:r>
      <w:r w:rsidRPr="00B71607">
        <w:t xml:space="preserve"> </w:t>
      </w:r>
      <w:r>
        <w:t>“capital”</w:t>
      </w:r>
      <w:r w:rsidRPr="00B71607">
        <w:t xml:space="preserve"> </w:t>
      </w:r>
      <w:r>
        <w:t>only</w:t>
      </w:r>
      <w:r w:rsidRPr="00B71607">
        <w:t xml:space="preserve"> </w:t>
      </w:r>
      <w:r>
        <w:t>makes</w:t>
      </w:r>
      <w:r w:rsidRPr="00B71607">
        <w:t xml:space="preserve"> </w:t>
      </w:r>
      <w:r>
        <w:t>sense</w:t>
      </w:r>
      <w:r w:rsidRPr="00B71607">
        <w:t xml:space="preserve"> </w:t>
      </w:r>
      <w:r w:rsidR="00316715">
        <w:t xml:space="preserve">as a sum of money </w:t>
      </w:r>
      <w:r w:rsidR="00277F17">
        <w:t>values of capital goods</w:t>
      </w:r>
      <w:r>
        <w:t>.</w:t>
      </w:r>
      <w:r w:rsidRPr="00B71607">
        <w:t xml:space="preserve"> </w:t>
      </w:r>
    </w:p>
  </w:endnote>
  <w:endnote w:id="16">
    <w:p w:rsidR="00BB1581" w:rsidRDefault="00BB1581" w:rsidP="006B3DED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rPr>
          <w:bCs/>
        </w:rPr>
        <w:t>Here,</w:t>
      </w:r>
      <w:r w:rsidRPr="00B71607">
        <w:rPr>
          <w:bCs/>
        </w:rPr>
        <w:t xml:space="preserve"> </w:t>
      </w:r>
      <w:r>
        <w:rPr>
          <w:bCs/>
        </w:rPr>
        <w:t>the</w:t>
      </w:r>
      <w:r w:rsidRPr="00B71607">
        <w:rPr>
          <w:bCs/>
        </w:rPr>
        <w:t xml:space="preserve"> </w:t>
      </w:r>
      <w:r>
        <w:rPr>
          <w:bCs/>
        </w:rPr>
        <w:t>line</w:t>
      </w:r>
      <w:r w:rsidRPr="00B71607">
        <w:rPr>
          <w:bCs/>
        </w:rPr>
        <w:t xml:space="preserve"> </w:t>
      </w:r>
      <w:r>
        <w:rPr>
          <w:bCs/>
        </w:rPr>
        <w:t>is</w:t>
      </w:r>
      <w:r w:rsidRPr="00B71607">
        <w:rPr>
          <w:bCs/>
        </w:rPr>
        <w:t xml:space="preserve"> </w:t>
      </w:r>
      <w:r>
        <w:rPr>
          <w:bCs/>
        </w:rPr>
        <w:t>drawn</w:t>
      </w:r>
      <w:r w:rsidRPr="00B71607">
        <w:rPr>
          <w:bCs/>
        </w:rPr>
        <w:t xml:space="preserve"> </w:t>
      </w:r>
      <w:r>
        <w:rPr>
          <w:bCs/>
        </w:rPr>
        <w:t>as</w:t>
      </w:r>
      <w:r w:rsidRPr="00B71607">
        <w:rPr>
          <w:bCs/>
        </w:rPr>
        <w:t xml:space="preserve"> </w:t>
      </w:r>
      <w:r>
        <w:rPr>
          <w:bCs/>
        </w:rPr>
        <w:t>having</w:t>
      </w:r>
      <w:r w:rsidRPr="00B71607">
        <w:rPr>
          <w:bCs/>
        </w:rPr>
        <w:t xml:space="preserve"> </w:t>
      </w:r>
      <w:r>
        <w:rPr>
          <w:b/>
          <w:bCs/>
          <w:i/>
        </w:rPr>
        <w:t>e</w:t>
      </w:r>
      <w:r w:rsidRPr="00B71607">
        <w:rPr>
          <w:bCs/>
        </w:rPr>
        <w:t xml:space="preserve"> </w:t>
      </w:r>
      <w:r>
        <w:rPr>
          <w:bCs/>
        </w:rPr>
        <w:t>&lt;</w:t>
      </w:r>
      <w:r w:rsidRPr="00B71607">
        <w:rPr>
          <w:bCs/>
        </w:rPr>
        <w:t xml:space="preserve"> </w:t>
      </w:r>
      <w:r>
        <w:rPr>
          <w:bCs/>
        </w:rPr>
        <w:t>1</w:t>
      </w:r>
      <w:r w:rsidRPr="00B71607">
        <w:rPr>
          <w:bCs/>
        </w:rPr>
        <w:t xml:space="preserve"> </w:t>
      </w:r>
      <w:r>
        <w:rPr>
          <w:bCs/>
        </w:rPr>
        <w:t>in</w:t>
      </w:r>
      <w:r w:rsidRPr="00B71607">
        <w:rPr>
          <w:bCs/>
        </w:rPr>
        <w:t xml:space="preserve"> </w:t>
      </w:r>
      <w:r>
        <w:rPr>
          <w:bCs/>
        </w:rPr>
        <w:t>light</w:t>
      </w:r>
      <w:r w:rsidRPr="00B71607">
        <w:rPr>
          <w:bCs/>
        </w:rPr>
        <w:t xml:space="preserve"> </w:t>
      </w:r>
      <w:r>
        <w:rPr>
          <w:bCs/>
        </w:rPr>
        <w:t>of</w:t>
      </w:r>
      <w:r w:rsidRPr="00B71607">
        <w:rPr>
          <w:bCs/>
        </w:rPr>
        <w:t xml:space="preserve"> </w:t>
      </w:r>
      <w:r>
        <w:rPr>
          <w:bCs/>
        </w:rPr>
        <w:t>the</w:t>
      </w:r>
      <w:r w:rsidRPr="00B71607">
        <w:rPr>
          <w:bCs/>
        </w:rPr>
        <w:t xml:space="preserve"> </w:t>
      </w:r>
      <w:r>
        <w:rPr>
          <w:bCs/>
        </w:rPr>
        <w:t>inflationary</w:t>
      </w:r>
      <w:r w:rsidRPr="00B71607">
        <w:rPr>
          <w:bCs/>
        </w:rPr>
        <w:t xml:space="preserve"> </w:t>
      </w:r>
      <w:r>
        <w:rPr>
          <w:bCs/>
        </w:rPr>
        <w:t>consequences</w:t>
      </w:r>
      <w:r w:rsidRPr="00B71607">
        <w:rPr>
          <w:bCs/>
        </w:rPr>
        <w:t xml:space="preserve"> </w:t>
      </w:r>
      <w:r>
        <w:rPr>
          <w:bCs/>
        </w:rPr>
        <w:t>of</w:t>
      </w:r>
      <w:r w:rsidRPr="00B71607">
        <w:rPr>
          <w:bCs/>
        </w:rPr>
        <w:t xml:space="preserve"> </w:t>
      </w:r>
      <w:r>
        <w:rPr>
          <w:bCs/>
        </w:rPr>
        <w:t>exceeding</w:t>
      </w:r>
      <w:r w:rsidRPr="00B71607">
        <w:rPr>
          <w:bCs/>
        </w:rPr>
        <w:t xml:space="preserve"> </w:t>
      </w:r>
      <w:r>
        <w:rPr>
          <w:b/>
          <w:bCs/>
        </w:rPr>
        <w:t>F</w:t>
      </w:r>
      <w:r>
        <w:rPr>
          <w:bCs/>
        </w:rPr>
        <w:t>,</w:t>
      </w:r>
      <w:r w:rsidRPr="00B71607">
        <w:rPr>
          <w:bCs/>
        </w:rPr>
        <w:t xml:space="preserve"> </w:t>
      </w:r>
      <w:r>
        <w:rPr>
          <w:bCs/>
        </w:rPr>
        <w:t>though</w:t>
      </w:r>
      <w:r w:rsidRPr="00B71607">
        <w:rPr>
          <w:bCs/>
        </w:rPr>
        <w:t xml:space="preserve"> </w:t>
      </w:r>
      <w:r>
        <w:rPr>
          <w:bCs/>
        </w:rPr>
        <w:t>it</w:t>
      </w:r>
      <w:r w:rsidRPr="00B71607">
        <w:rPr>
          <w:bCs/>
        </w:rPr>
        <w:t xml:space="preserve"> </w:t>
      </w:r>
      <w:r>
        <w:rPr>
          <w:bCs/>
        </w:rPr>
        <w:t>could</w:t>
      </w:r>
      <w:r w:rsidRPr="00B71607">
        <w:rPr>
          <w:bCs/>
        </w:rPr>
        <w:t xml:space="preserve"> </w:t>
      </w:r>
      <w:r>
        <w:rPr>
          <w:bCs/>
        </w:rPr>
        <w:t>(in</w:t>
      </w:r>
      <w:r w:rsidRPr="00B71607">
        <w:rPr>
          <w:bCs/>
        </w:rPr>
        <w:t xml:space="preserve"> </w:t>
      </w:r>
      <w:r>
        <w:rPr>
          <w:bCs/>
        </w:rPr>
        <w:t>theory)</w:t>
      </w:r>
      <w:r w:rsidRPr="00B71607">
        <w:rPr>
          <w:bCs/>
        </w:rPr>
        <w:t xml:space="preserve"> </w:t>
      </w:r>
      <w:r>
        <w:rPr>
          <w:bCs/>
        </w:rPr>
        <w:t>be</w:t>
      </w:r>
      <w:r w:rsidRPr="00B71607">
        <w:rPr>
          <w:bCs/>
        </w:rPr>
        <w:t xml:space="preserve"> </w:t>
      </w:r>
      <w:r>
        <w:rPr>
          <w:bCs/>
        </w:rPr>
        <w:t>drawn</w:t>
      </w:r>
      <w:r w:rsidRPr="00B71607">
        <w:rPr>
          <w:bCs/>
        </w:rPr>
        <w:t xml:space="preserve"> </w:t>
      </w:r>
      <w:r>
        <w:rPr>
          <w:bCs/>
        </w:rPr>
        <w:t>with</w:t>
      </w:r>
      <w:r w:rsidRPr="00B71607">
        <w:rPr>
          <w:bCs/>
        </w:rPr>
        <w:t xml:space="preserve"> </w:t>
      </w:r>
      <w:r>
        <w:rPr>
          <w:b/>
          <w:bCs/>
          <w:i/>
        </w:rPr>
        <w:t>e</w:t>
      </w:r>
      <w:r w:rsidRPr="00B71607">
        <w:rPr>
          <w:bCs/>
        </w:rPr>
        <w:t xml:space="preserve"> </w:t>
      </w:r>
      <w:r>
        <w:rPr>
          <w:bCs/>
        </w:rPr>
        <w:t>&gt;</w:t>
      </w:r>
      <w:r w:rsidRPr="00B71607">
        <w:rPr>
          <w:bCs/>
        </w:rPr>
        <w:t xml:space="preserve"> </w:t>
      </w:r>
      <w:r>
        <w:rPr>
          <w:bCs/>
        </w:rPr>
        <w:t>1.</w:t>
      </w:r>
    </w:p>
  </w:endnote>
  <w:endnote w:id="17">
    <w:p w:rsidR="00BB1581" w:rsidRDefault="00BB1581" w:rsidP="00A6462B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To</w:t>
      </w:r>
      <w:r w:rsidRPr="00B71607">
        <w:t xml:space="preserve"> </w:t>
      </w:r>
      <w:r>
        <w:t>his</w:t>
      </w:r>
      <w:r w:rsidRPr="00B71607">
        <w:t xml:space="preserve"> </w:t>
      </w:r>
      <w:r>
        <w:t>credit,</w:t>
      </w:r>
      <w:r w:rsidRPr="00B71607">
        <w:t xml:space="preserve"> </w:t>
      </w:r>
      <w:r>
        <w:t>Solow</w:t>
      </w:r>
      <w:r w:rsidRPr="00B71607">
        <w:t xml:space="preserve"> </w:t>
      </w:r>
      <w:r>
        <w:t>(1956:</w:t>
      </w:r>
      <w:r w:rsidRPr="00B71607">
        <w:t xml:space="preserve"> </w:t>
      </w:r>
      <w:r>
        <w:t>93)</w:t>
      </w:r>
      <w:r w:rsidRPr="00B71607">
        <w:t xml:space="preserve"> </w:t>
      </w:r>
      <w:r>
        <w:t>noted</w:t>
      </w:r>
      <w:r w:rsidRPr="00B71607">
        <w:t xml:space="preserve"> </w:t>
      </w:r>
      <w:r>
        <w:t>that</w:t>
      </w:r>
      <w:r w:rsidRPr="00B71607">
        <w:t xml:space="preserve"> </w:t>
      </w:r>
      <w:r>
        <w:t>“No</w:t>
      </w:r>
      <w:r w:rsidRPr="00B71607">
        <w:t xml:space="preserve"> </w:t>
      </w:r>
      <w:r>
        <w:t>credible</w:t>
      </w:r>
      <w:r w:rsidRPr="00B71607">
        <w:t xml:space="preserve"> </w:t>
      </w:r>
      <w:r>
        <w:t>theory</w:t>
      </w:r>
      <w:r w:rsidRPr="00B71607">
        <w:t xml:space="preserve"> </w:t>
      </w:r>
      <w:r>
        <w:t>of</w:t>
      </w:r>
      <w:r w:rsidRPr="00B71607">
        <w:t xml:space="preserve"> </w:t>
      </w:r>
      <w:r>
        <w:t>investment</w:t>
      </w:r>
      <w:r w:rsidRPr="00B71607">
        <w:t xml:space="preserve"> </w:t>
      </w:r>
      <w:r>
        <w:t>can</w:t>
      </w:r>
      <w:r w:rsidRPr="00B71607">
        <w:t xml:space="preserve"> </w:t>
      </w:r>
      <w:r>
        <w:t>be</w:t>
      </w:r>
      <w:r w:rsidRPr="00B71607">
        <w:t xml:space="preserve"> </w:t>
      </w:r>
      <w:r>
        <w:t>built</w:t>
      </w:r>
      <w:r w:rsidRPr="00B71607">
        <w:t xml:space="preserve"> </w:t>
      </w:r>
      <w:r>
        <w:t>on</w:t>
      </w:r>
      <w:r w:rsidRPr="00B71607">
        <w:t xml:space="preserve"> </w:t>
      </w:r>
      <w:r>
        <w:t>the</w:t>
      </w:r>
      <w:r w:rsidRPr="00B71607">
        <w:t xml:space="preserve"> </w:t>
      </w:r>
      <w:r>
        <w:t>assumption</w:t>
      </w:r>
      <w:r w:rsidRPr="00B71607">
        <w:t xml:space="preserve"> </w:t>
      </w:r>
      <w:r>
        <w:t>of</w:t>
      </w:r>
      <w:r w:rsidRPr="00B71607">
        <w:t xml:space="preserve"> </w:t>
      </w:r>
      <w:r>
        <w:t>perfect</w:t>
      </w:r>
      <w:r w:rsidRPr="00B71607">
        <w:t xml:space="preserve"> </w:t>
      </w:r>
      <w:r>
        <w:t>foresight</w:t>
      </w:r>
      <w:r w:rsidRPr="00B71607">
        <w:t xml:space="preserve"> </w:t>
      </w:r>
      <w:r>
        <w:t>and</w:t>
      </w:r>
      <w:r w:rsidRPr="00B71607">
        <w:t xml:space="preserve"> </w:t>
      </w:r>
      <w:r>
        <w:t>arbitrage</w:t>
      </w:r>
      <w:r w:rsidRPr="00B71607">
        <w:t xml:space="preserve"> </w:t>
      </w:r>
      <w:r>
        <w:t>over</w:t>
      </w:r>
      <w:r w:rsidRPr="00B71607">
        <w:t xml:space="preserve"> </w:t>
      </w:r>
      <w:r>
        <w:t>time.”</w:t>
      </w:r>
      <w:r w:rsidRPr="00B71607">
        <w:t xml:space="preserve"> </w:t>
      </w:r>
    </w:p>
  </w:endnote>
  <w:endnote w:id="18">
    <w:p w:rsidR="00BB1581" w:rsidRDefault="00BB1581" w:rsidP="00C31F28">
      <w:pPr>
        <w:pStyle w:val="EndnoteText"/>
      </w:pPr>
      <w:r>
        <w:rPr>
          <w:rStyle w:val="EndnoteReference"/>
          <w:b/>
          <w:smallCaps/>
        </w:rPr>
        <w:endnoteRef/>
      </w:r>
      <w:r w:rsidRPr="00B71607">
        <w:t xml:space="preserve"> </w:t>
      </w:r>
      <w:r>
        <w:t>The</w:t>
      </w:r>
      <w:r w:rsidRPr="00B71607">
        <w:t xml:space="preserve"> </w:t>
      </w:r>
      <w:r>
        <w:t>idea</w:t>
      </w:r>
      <w:r w:rsidRPr="00B71607">
        <w:t xml:space="preserve"> </w:t>
      </w:r>
      <w:r>
        <w:t>is</w:t>
      </w:r>
      <w:r w:rsidRPr="00B71607">
        <w:t xml:space="preserve"> </w:t>
      </w:r>
      <w:r>
        <w:t>that</w:t>
      </w:r>
      <w:r w:rsidRPr="00B71607">
        <w:t xml:space="preserve"> </w:t>
      </w:r>
      <w:r>
        <w:t>any</w:t>
      </w:r>
      <w:r w:rsidRPr="00B71607">
        <w:t xml:space="preserve"> </w:t>
      </w:r>
      <w:r>
        <w:t>given</w:t>
      </w:r>
      <w:r w:rsidRPr="00B71607">
        <w:t xml:space="preserve"> </w:t>
      </w:r>
      <w:r>
        <w:t>time</w:t>
      </w:r>
      <w:r w:rsidRPr="00B71607">
        <w:t xml:space="preserve"> </w:t>
      </w:r>
      <w:r>
        <w:rPr>
          <w:b/>
        </w:rPr>
        <w:t>t</w:t>
      </w:r>
      <w:r>
        <w:t>,</w:t>
      </w:r>
      <w:r w:rsidRPr="00B71607">
        <w:t xml:space="preserve"> </w:t>
      </w:r>
      <w:r>
        <w:t>people</w:t>
      </w:r>
      <w:r w:rsidRPr="00B71607">
        <w:t xml:space="preserve"> </w:t>
      </w:r>
      <w:r>
        <w:t>do</w:t>
      </w:r>
      <w:r w:rsidRPr="00B71607">
        <w:t xml:space="preserve"> </w:t>
      </w:r>
      <w:r>
        <w:t>not</w:t>
      </w:r>
      <w:r w:rsidRPr="00B71607">
        <w:t xml:space="preserve"> </w:t>
      </w:r>
      <w:r>
        <w:t>know</w:t>
      </w:r>
      <w:r w:rsidRPr="00B71607">
        <w:t xml:space="preserve"> </w:t>
      </w:r>
      <w:r>
        <w:t>what</w:t>
      </w:r>
      <w:r w:rsidRPr="00B71607">
        <w:t xml:space="preserve"> </w:t>
      </w:r>
      <w:r>
        <w:t>is</w:t>
      </w:r>
      <w:r w:rsidRPr="00B71607">
        <w:t xml:space="preserve"> </w:t>
      </w:r>
      <w:r>
        <w:t>happening</w:t>
      </w:r>
      <w:r w:rsidRPr="00B71607">
        <w:t xml:space="preserve"> </w:t>
      </w:r>
      <w:r>
        <w:t>in</w:t>
      </w:r>
      <w:r w:rsidRPr="00B71607">
        <w:t xml:space="preserve"> </w:t>
      </w:r>
      <w:r>
        <w:t>the</w:t>
      </w:r>
      <w:r w:rsidRPr="00B71607">
        <w:t xml:space="preserve"> </w:t>
      </w:r>
      <w:r>
        <w:t>economy</w:t>
      </w:r>
      <w:r w:rsidRPr="00B71607">
        <w:t xml:space="preserve"> </w:t>
      </w:r>
      <w:r>
        <w:t>until</w:t>
      </w:r>
      <w:r w:rsidRPr="00B71607">
        <w:t xml:space="preserve"> </w:t>
      </w:r>
      <w:r>
        <w:t>after</w:t>
      </w:r>
      <w:r w:rsidRPr="00B71607">
        <w:t xml:space="preserve"> </w:t>
      </w:r>
      <w:r>
        <w:t>the</w:t>
      </w:r>
      <w:r w:rsidRPr="00B71607">
        <w:t xml:space="preserve"> </w:t>
      </w:r>
      <w:r>
        <w:t>fact</w:t>
      </w:r>
      <w:r w:rsidRPr="00B71607">
        <w:t xml:space="preserve"> </w:t>
      </w:r>
      <w:r>
        <w:t>(if</w:t>
      </w:r>
      <w:r w:rsidRPr="00B71607">
        <w:t xml:space="preserve"> </w:t>
      </w:r>
      <w:r>
        <w:t>then).</w:t>
      </w:r>
      <w:r w:rsidRPr="00B71607">
        <w:t xml:space="preserve"> </w:t>
      </w:r>
      <w:r>
        <w:t>So</w:t>
      </w:r>
      <w:r w:rsidRPr="00B71607">
        <w:t xml:space="preserve"> </w:t>
      </w:r>
      <w:r>
        <w:t>they</w:t>
      </w:r>
      <w:r w:rsidRPr="00B71607">
        <w:t xml:space="preserve"> </w:t>
      </w:r>
      <w:r>
        <w:t>make</w:t>
      </w:r>
      <w:r w:rsidRPr="00B71607">
        <w:t xml:space="preserve"> </w:t>
      </w:r>
      <w:r>
        <w:t>their</w:t>
      </w:r>
      <w:r w:rsidRPr="00B71607">
        <w:t xml:space="preserve"> </w:t>
      </w:r>
      <w:r>
        <w:t>decisions</w:t>
      </w:r>
      <w:r w:rsidRPr="00B71607">
        <w:t xml:space="preserve"> </w:t>
      </w:r>
      <w:r>
        <w:rPr>
          <w:i/>
        </w:rPr>
        <w:t>now</w:t>
      </w:r>
      <w:r w:rsidRPr="00B71607">
        <w:t xml:space="preserve"> </w:t>
      </w:r>
      <w:r>
        <w:t>based</w:t>
      </w:r>
      <w:r w:rsidRPr="00B71607">
        <w:t xml:space="preserve"> </w:t>
      </w:r>
      <w:r>
        <w:t>on</w:t>
      </w:r>
      <w:r w:rsidRPr="00B71607">
        <w:t xml:space="preserve"> </w:t>
      </w:r>
      <w:r>
        <w:t>expectations</w:t>
      </w:r>
      <w:r w:rsidRPr="00B71607">
        <w:t xml:space="preserve"> </w:t>
      </w:r>
      <w:r>
        <w:t>developed</w:t>
      </w:r>
      <w:r w:rsidRPr="00B71607">
        <w:t xml:space="preserve"> </w:t>
      </w:r>
      <w:r>
        <w:t>in</w:t>
      </w:r>
      <w:r w:rsidRPr="00B71607">
        <w:t xml:space="preserve"> </w:t>
      </w:r>
      <w:r>
        <w:t>past</w:t>
      </w:r>
      <w:r w:rsidRPr="00B71607">
        <w:t xml:space="preserve"> </w:t>
      </w:r>
      <w:r>
        <w:t>periods.</w:t>
      </w:r>
      <w:r w:rsidRPr="00B71607">
        <w:t xml:space="preserve"> </w:t>
      </w:r>
    </w:p>
  </w:endnote>
  <w:endnote w:id="19">
    <w:p w:rsidR="00BB1581" w:rsidRPr="001939AB" w:rsidRDefault="00BB1581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Also,</w:t>
      </w:r>
      <w:r w:rsidRPr="00B71607">
        <w:t xml:space="preserve"> </w:t>
      </w:r>
      <w:r>
        <w:t>a</w:t>
      </w:r>
      <w:r w:rsidRPr="00B71607">
        <w:t xml:space="preserve"> </w:t>
      </w:r>
      <w:r>
        <w:t>war,</w:t>
      </w:r>
      <w:r w:rsidRPr="00B71607">
        <w:t xml:space="preserve"> </w:t>
      </w:r>
      <w:r>
        <w:t>a</w:t>
      </w:r>
      <w:r w:rsidRPr="00B71607">
        <w:t xml:space="preserve"> </w:t>
      </w:r>
      <w:r>
        <w:t>natural</w:t>
      </w:r>
      <w:r w:rsidRPr="00B71607">
        <w:t xml:space="preserve"> </w:t>
      </w:r>
      <w:r>
        <w:t>disaster,</w:t>
      </w:r>
      <w:r w:rsidRPr="00B71607">
        <w:t xml:space="preserve"> </w:t>
      </w:r>
      <w:r>
        <w:t>or</w:t>
      </w:r>
      <w:r w:rsidRPr="00B71607">
        <w:t xml:space="preserve"> </w:t>
      </w:r>
      <w:r>
        <w:t>deliberate</w:t>
      </w:r>
      <w:r w:rsidRPr="00B71607">
        <w:t xml:space="preserve"> </w:t>
      </w:r>
      <w:r>
        <w:t>scrapping</w:t>
      </w:r>
      <w:r w:rsidRPr="00B71607">
        <w:t xml:space="preserve"> </w:t>
      </w:r>
      <w:r>
        <w:t>may</w:t>
      </w:r>
      <w:r w:rsidRPr="00B71607">
        <w:t xml:space="preserve"> </w:t>
      </w:r>
      <w:r>
        <w:t>imply</w:t>
      </w:r>
      <w:r w:rsidRPr="00B71607">
        <w:t xml:space="preserve"> </w:t>
      </w:r>
      <w:r>
        <w:t>low</w:t>
      </w:r>
      <w:r w:rsidRPr="00B71607">
        <w:t xml:space="preserve"> </w:t>
      </w:r>
      <w:r>
        <w:rPr>
          <w:b/>
        </w:rPr>
        <w:t>K</w:t>
      </w:r>
      <w:r>
        <w:rPr>
          <w:b/>
          <w:smallCaps/>
          <w:vertAlign w:val="subscript"/>
        </w:rPr>
        <w:t>–1</w:t>
      </w:r>
      <w:r>
        <w:t>.</w:t>
      </w:r>
      <w:r w:rsidRPr="00B71607">
        <w:t xml:space="preserve"> </w:t>
      </w:r>
      <w:r>
        <w:t>The</w:t>
      </w:r>
      <w:r w:rsidRPr="00B71607">
        <w:t xml:space="preserve"> </w:t>
      </w:r>
      <w:r>
        <w:t>lower</w:t>
      </w:r>
      <w:r w:rsidRPr="00B71607">
        <w:t xml:space="preserve"> </w:t>
      </w:r>
      <w:r>
        <w:t>limit</w:t>
      </w:r>
      <w:r w:rsidRPr="00B71607">
        <w:t xml:space="preserve"> </w:t>
      </w:r>
      <w:r>
        <w:t>on</w:t>
      </w:r>
      <w:r w:rsidRPr="00B71607">
        <w:t xml:space="preserve"> </w:t>
      </w:r>
      <w:r>
        <w:t>net</w:t>
      </w:r>
      <w:r w:rsidRPr="00B71607">
        <w:t xml:space="preserve"> </w:t>
      </w:r>
      <w:r>
        <w:t>inves</w:t>
      </w:r>
      <w:r>
        <w:t>t</w:t>
      </w:r>
      <w:r>
        <w:t>ment</w:t>
      </w:r>
      <w:r w:rsidRPr="00B71607">
        <w:t xml:space="preserve"> </w:t>
      </w:r>
      <w:r>
        <w:t>(Hicks,</w:t>
      </w:r>
      <w:r w:rsidRPr="00B71607">
        <w:t xml:space="preserve"> </w:t>
      </w:r>
      <w:r>
        <w:t>1949)</w:t>
      </w:r>
      <w:r w:rsidRPr="00B71607">
        <w:t xml:space="preserve"> </w:t>
      </w:r>
      <w:r>
        <w:t>will</w:t>
      </w:r>
      <w:r w:rsidRPr="00B71607">
        <w:t xml:space="preserve"> </w:t>
      </w:r>
      <w:r>
        <w:t>be</w:t>
      </w:r>
      <w:r w:rsidRPr="00B71607">
        <w:t xml:space="preserve"> </w:t>
      </w:r>
      <w:r>
        <w:t>ignored</w:t>
      </w:r>
      <w:r w:rsidRPr="00B71607">
        <w:t xml:space="preserve"> </w:t>
      </w:r>
      <w:r>
        <w:t>here.</w:t>
      </w:r>
    </w:p>
  </w:endnote>
  <w:endnote w:id="20">
    <w:p w:rsidR="00BB1581" w:rsidRDefault="00BB1581" w:rsidP="00C31F28">
      <w:pPr>
        <w:pStyle w:val="EndnoteText"/>
      </w:pPr>
      <w:r>
        <w:rPr>
          <w:rStyle w:val="EndnoteReference"/>
          <w:b/>
          <w:smallCaps/>
        </w:rPr>
        <w:endnoteRef/>
      </w:r>
      <w:r w:rsidRPr="00B71607">
        <w:t xml:space="preserve"> </w:t>
      </w:r>
      <w:r>
        <w:t>Domar</w:t>
      </w:r>
      <w:r w:rsidRPr="00B71607">
        <w:t xml:space="preserve"> </w:t>
      </w:r>
      <w:r>
        <w:t>(1946:</w:t>
      </w:r>
      <w:r w:rsidRPr="00B71607">
        <w:t xml:space="preserve"> </w:t>
      </w:r>
      <w:r>
        <w:t>143-45)</w:t>
      </w:r>
      <w:r w:rsidRPr="00B71607">
        <w:t xml:space="preserve"> </w:t>
      </w:r>
      <w:r>
        <w:t>considered</w:t>
      </w:r>
      <w:r w:rsidRPr="00B71607">
        <w:t xml:space="preserve"> </w:t>
      </w:r>
      <w:r>
        <w:t>this</w:t>
      </w:r>
      <w:r w:rsidRPr="00B71607">
        <w:t xml:space="preserve"> </w:t>
      </w:r>
      <w:r>
        <w:t>case.</w:t>
      </w:r>
      <w:r w:rsidRPr="00B71607">
        <w:t xml:space="preserve"> </w:t>
      </w:r>
    </w:p>
  </w:endnote>
  <w:endnote w:id="21">
    <w:p w:rsidR="00BB1581" w:rsidRDefault="00BB1581">
      <w:pPr>
        <w:pStyle w:val="EndnoteText"/>
      </w:pPr>
      <w:r>
        <w:rPr>
          <w:rStyle w:val="EndnoteReference"/>
        </w:rPr>
        <w:endnoteRef/>
      </w:r>
      <w:r>
        <w:t xml:space="preserve"> In a corn-corn model, </w:t>
      </w:r>
      <w:r w:rsidR="00BE2224">
        <w:t xml:space="preserve">so-called </w:t>
      </w:r>
      <w:r w:rsidR="00277F17">
        <w:t xml:space="preserve">“moral” </w:t>
      </w:r>
      <w:r>
        <w:t xml:space="preserve">depreciation due to </w:t>
      </w:r>
      <w:r w:rsidRPr="00487DBE">
        <w:t xml:space="preserve">obsolescence or changes in the demand for the </w:t>
      </w:r>
      <w:r>
        <w:t xml:space="preserve">output produced using specific types of </w:t>
      </w:r>
      <w:r w:rsidRPr="00487DBE">
        <w:t xml:space="preserve">capital </w:t>
      </w:r>
      <w:r>
        <w:t>goods cannot play a role.</w:t>
      </w:r>
    </w:p>
  </w:endnote>
  <w:endnote w:id="22">
    <w:p w:rsidR="00AC7305" w:rsidRDefault="00AC73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</w:rPr>
        <w:t xml:space="preserve">However, this logic is usually hidden by the use of ratios. For example, the RF’s microeconomic value of a ratio such as the accumulation rate </w:t>
      </w:r>
      <w:r>
        <w:rPr>
          <w:b/>
          <w:color w:val="000000"/>
        </w:rPr>
        <w:t>I</w:t>
      </w:r>
      <w:r>
        <w:rPr>
          <w:color w:val="000000"/>
        </w:rPr>
        <w:t>/</w:t>
      </w:r>
      <w:r>
        <w:rPr>
          <w:b/>
          <w:color w:val="000000"/>
        </w:rPr>
        <w:t>Y</w:t>
      </w:r>
      <w:r>
        <w:rPr>
          <w:color w:val="000000"/>
        </w:rPr>
        <w:t xml:space="preserve"> = </w:t>
      </w:r>
      <w:r>
        <w:rPr>
          <w:rFonts w:eastAsiaTheme="minorEastAsia"/>
          <w:b/>
          <w:bCs/>
          <w:i/>
          <w:color w:val="000000"/>
        </w:rPr>
        <w:t>α</w:t>
      </w:r>
      <w:r>
        <w:rPr>
          <w:rFonts w:eastAsiaTheme="minorEastAsia"/>
          <w:b/>
          <w:bCs/>
          <w:smallCaps/>
          <w:vertAlign w:val="subscript"/>
        </w:rPr>
        <w:t>y</w:t>
      </w:r>
      <w:r>
        <w:t xml:space="preserve"> also equals the </w:t>
      </w:r>
      <w:r>
        <w:rPr>
          <w:rFonts w:eastAsiaTheme="minorEastAsia"/>
          <w:b/>
          <w:bCs/>
          <w:i/>
          <w:color w:val="000000"/>
        </w:rPr>
        <w:t>α</w:t>
      </w:r>
      <w:r>
        <w:rPr>
          <w:rFonts w:eastAsiaTheme="minorEastAsia"/>
          <w:b/>
          <w:bCs/>
          <w:smallCaps/>
          <w:vertAlign w:val="subscript"/>
        </w:rPr>
        <w:t>y</w:t>
      </w:r>
      <w:r>
        <w:rPr>
          <w:rFonts w:eastAsiaTheme="minorEastAsia"/>
          <w:bCs/>
        </w:rPr>
        <w:t xml:space="preserve"> </w:t>
      </w:r>
      <w:r>
        <w:t>at the macro level.</w:t>
      </w:r>
    </w:p>
  </w:endnote>
  <w:endnote w:id="23">
    <w:p w:rsidR="00BB1581" w:rsidRPr="00BE2224" w:rsidRDefault="00BB1581">
      <w:pPr>
        <w:pStyle w:val="EndnoteText"/>
      </w:pPr>
      <w:r>
        <w:rPr>
          <w:rStyle w:val="EndnoteReference"/>
        </w:rPr>
        <w:endnoteRef/>
      </w:r>
      <w:r>
        <w:t xml:space="preserve"> For example, low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>
        <w:t xml:space="preserve"> can cause low spending, causing low </w:t>
      </w:r>
      <w:r>
        <w:rPr>
          <w:b/>
        </w:rPr>
        <w:t>Y</w:t>
      </w:r>
      <w:r>
        <w:t>.</w:t>
      </w:r>
      <w:r w:rsidR="00BE2224">
        <w:t xml:space="preserve"> The RE theory only allows one-way causation from </w:t>
      </w:r>
      <w:r w:rsidR="00BE2224">
        <w:rPr>
          <w:b/>
        </w:rPr>
        <w:t>Y</w:t>
      </w:r>
      <w:r w:rsidR="00BE2224">
        <w:t xml:space="preserve"> to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</m:oMath>
      <w:r w:rsidR="00BE2224" w:rsidRPr="00BE2224">
        <w:rPr>
          <w:rFonts w:eastAsiaTheme="minorEastAsia"/>
        </w:rPr>
        <w:t>.</w:t>
      </w:r>
    </w:p>
  </w:endnote>
  <w:endnote w:id="24">
    <w:p w:rsidR="005101AD" w:rsidRPr="00796B05" w:rsidRDefault="005101AD">
      <w:pPr>
        <w:pStyle w:val="EndnoteText"/>
      </w:pPr>
      <w:r>
        <w:rPr>
          <w:rStyle w:val="EndnoteReference"/>
        </w:rPr>
        <w:endnoteRef/>
      </w:r>
      <w:r>
        <w:t xml:space="preserve"> The </w:t>
      </w:r>
      <w:r>
        <w:rPr>
          <w:b/>
          <w:i/>
        </w:rPr>
        <w:t>c</w:t>
      </w:r>
      <w:r>
        <w:t xml:space="preserve"> seems to be important </w:t>
      </w:r>
      <w:r w:rsidR="00BE2224">
        <w:t xml:space="preserve">in Harrod’s </w:t>
      </w:r>
      <w:r w:rsidR="00BE2224">
        <w:rPr>
          <w:i/>
        </w:rPr>
        <w:t xml:space="preserve">Essay </w:t>
      </w:r>
      <w:r>
        <w:t xml:space="preserve">because </w:t>
      </w:r>
      <w:r w:rsidR="00BE2224">
        <w:t xml:space="preserve">he </w:t>
      </w:r>
      <w:r w:rsidRPr="00590252">
        <w:t>discusses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knife-edge</w:t>
      </w:r>
      <w:r w:rsidRPr="00B71607">
        <w:t xml:space="preserve"> </w:t>
      </w:r>
      <w:r w:rsidRPr="00590252">
        <w:t>in</w:t>
      </w:r>
      <w:r w:rsidRPr="00B71607">
        <w:t xml:space="preserve"> </w:t>
      </w:r>
      <w:r w:rsidRPr="00590252">
        <w:t>terms</w:t>
      </w:r>
      <w:r w:rsidRPr="00B71607">
        <w:t xml:space="preserve"> </w:t>
      </w:r>
      <w:r w:rsidRPr="00590252">
        <w:t>of</w:t>
      </w:r>
      <w:r w:rsidRPr="00B71607">
        <w:t xml:space="preserve"> </w:t>
      </w:r>
      <w:r w:rsidRPr="00590252">
        <w:t>the</w:t>
      </w:r>
      <w:r w:rsidRPr="00B71607">
        <w:t xml:space="preserve"> </w:t>
      </w:r>
      <w:r w:rsidRPr="00590252">
        <w:t>relatio</w:t>
      </w:r>
      <w:r w:rsidRPr="00590252">
        <w:t>n</w:t>
      </w:r>
      <w:r w:rsidRPr="00590252">
        <w:t>ship</w:t>
      </w:r>
      <w:r w:rsidRPr="00B71607">
        <w:t xml:space="preserve"> </w:t>
      </w:r>
      <w:r w:rsidRPr="00590252">
        <w:t>between</w:t>
      </w:r>
      <w:r w:rsidRPr="00B71607">
        <w:t xml:space="preserve"> </w:t>
      </w:r>
      <w:r>
        <w:rPr>
          <w:b/>
          <w:i/>
        </w:rPr>
        <w:t>c</w:t>
      </w:r>
      <w:r w:rsidRPr="00B71607">
        <w:t xml:space="preserve"> </w:t>
      </w:r>
      <w:r w:rsidRPr="005101AD">
        <w:t xml:space="preserve">(= </w:t>
      </w:r>
      <w:r w:rsidRPr="005101AD">
        <w:rPr>
          <w:b/>
        </w:rPr>
        <w:t>K</w:t>
      </w:r>
      <w:r w:rsidRPr="005101AD">
        <w:t>/</w:t>
      </w:r>
      <w:r w:rsidRPr="005101AD">
        <w:rPr>
          <w:b/>
        </w:rPr>
        <w:t>Z</w:t>
      </w:r>
      <w:r w:rsidRPr="005101AD">
        <w:t xml:space="preserve"> = </w:t>
      </w:r>
      <w:r w:rsidRPr="005101AD">
        <w:rPr>
          <w:b/>
        </w:rPr>
        <w:t>I</w:t>
      </w:r>
      <w:r w:rsidRPr="005101AD">
        <w:t>/</w:t>
      </w:r>
      <w:r w:rsidRPr="005101AD">
        <w:sym w:font="Symbol" w:char="F044"/>
      </w:r>
      <w:r w:rsidRPr="005101AD">
        <w:rPr>
          <w:b/>
        </w:rPr>
        <w:t>Z</w:t>
      </w:r>
      <w:r w:rsidRPr="005101AD">
        <w:t>) and i</w:t>
      </w:r>
      <w:r w:rsidRPr="00590252">
        <w:t>ts</w:t>
      </w:r>
      <w:r w:rsidRPr="00B71607">
        <w:t xml:space="preserve"> </w:t>
      </w:r>
      <w:r w:rsidRPr="00590252">
        <w:rPr>
          <w:i/>
        </w:rPr>
        <w:t>ex-post</w:t>
      </w:r>
      <w:r w:rsidRPr="00B71607">
        <w:t xml:space="preserve"> </w:t>
      </w:r>
      <w:r w:rsidRPr="00590252">
        <w:t>value</w:t>
      </w:r>
      <w:r w:rsidRPr="00B71607">
        <w:t xml:space="preserve"> </w:t>
      </w:r>
      <w:r>
        <w:t>(his</w:t>
      </w:r>
      <w:r w:rsidRPr="00B71607">
        <w:t xml:space="preserve"> </w:t>
      </w:r>
      <w:proofErr w:type="spellStart"/>
      <w:r>
        <w:rPr>
          <w:b/>
          <w:i/>
        </w:rPr>
        <w:t>C</w:t>
      </w:r>
      <w:r>
        <w:rPr>
          <w:b/>
          <w:smallCaps/>
          <w:vertAlign w:val="subscript"/>
        </w:rPr>
        <w:t>p</w:t>
      </w:r>
      <w:proofErr w:type="spellEnd"/>
      <w:r w:rsidRPr="00B71607">
        <w:t xml:space="preserve"> </w:t>
      </w:r>
      <w:r w:rsidRPr="00733BFA">
        <w:t>=</w:t>
      </w:r>
      <w:r w:rsidR="00BE2224">
        <w:t xml:space="preserve"> </w:t>
      </w:r>
      <w:r>
        <w:rPr>
          <w:b/>
        </w:rPr>
        <w:t>I</w:t>
      </w:r>
      <w:r w:rsidRPr="00590252">
        <w:t>/∆</w:t>
      </w:r>
      <w:r>
        <w:rPr>
          <w:b/>
        </w:rPr>
        <w:t>Y</w:t>
      </w:r>
      <w:r>
        <w:t>)</w:t>
      </w:r>
      <w:r w:rsidRPr="00590252">
        <w:t>.</w:t>
      </w:r>
      <w:r w:rsidRPr="00B71607">
        <w:t xml:space="preserve"> </w:t>
      </w:r>
      <w:r w:rsidRPr="00590252">
        <w:t>This</w:t>
      </w:r>
      <w:r w:rsidRPr="00B71607">
        <w:t xml:space="preserve"> </w:t>
      </w:r>
      <w:r w:rsidRPr="00590252">
        <w:t>is</w:t>
      </w:r>
      <w:r w:rsidRPr="00B71607">
        <w:t xml:space="preserve"> </w:t>
      </w:r>
      <w:r w:rsidRPr="00590252">
        <w:t>mathematically</w:t>
      </w:r>
      <w:r w:rsidRPr="00B71607">
        <w:t xml:space="preserve"> </w:t>
      </w:r>
      <w:r w:rsidRPr="00590252">
        <w:t>equivalent</w:t>
      </w:r>
      <w:r w:rsidRPr="00B71607">
        <w:t xml:space="preserve"> </w:t>
      </w:r>
      <w:r w:rsidRPr="00590252">
        <w:t>to</w:t>
      </w:r>
      <w:r w:rsidRPr="00B71607">
        <w:t xml:space="preserve"> </w:t>
      </w:r>
      <w:r w:rsidRPr="00590252">
        <w:t>my</w:t>
      </w:r>
      <w:r w:rsidRPr="00B71607">
        <w:t xml:space="preserve"> </w:t>
      </w:r>
      <w:r w:rsidRPr="00590252">
        <w:t>prese</w:t>
      </w:r>
      <w:r w:rsidRPr="00590252">
        <w:t>n</w:t>
      </w:r>
      <w:r w:rsidRPr="00590252">
        <w:t>ta</w:t>
      </w:r>
      <w:r w:rsidR="00796B05">
        <w:t xml:space="preserve">tion, since </w:t>
      </w:r>
      <w:r w:rsidR="00796B05" w:rsidRPr="00E807E9">
        <w:sym w:font="Symbol" w:char="F044"/>
      </w:r>
      <w:r w:rsidR="00796B05">
        <w:rPr>
          <w:b/>
        </w:rPr>
        <w:t>Y</w:t>
      </w:r>
      <w:r w:rsidR="00796B05">
        <w:t>/</w:t>
      </w:r>
      <w:r w:rsidR="00796B05" w:rsidRPr="00E807E9">
        <w:sym w:font="Symbol" w:char="F044"/>
      </w:r>
      <w:r w:rsidR="00796B05">
        <w:rPr>
          <w:b/>
        </w:rPr>
        <w:t>Z</w:t>
      </w:r>
      <w:r w:rsidR="00796B05">
        <w:t xml:space="preserve"> is related to the changes in </w:t>
      </w:r>
      <w:r w:rsidR="00796B05" w:rsidRPr="00796B05">
        <w:rPr>
          <w:b/>
          <w:i/>
        </w:rPr>
        <w:t>y</w:t>
      </w:r>
      <w:r w:rsidR="00796B05">
        <w:t>.</w:t>
      </w:r>
    </w:p>
  </w:endnote>
  <w:endnote w:id="25">
    <w:p w:rsidR="00BB1581" w:rsidRPr="005B626B" w:rsidRDefault="00BB1581" w:rsidP="00A7421C">
      <w:pPr>
        <w:pStyle w:val="EndnoteText"/>
      </w:pPr>
      <w:r>
        <w:rPr>
          <w:rStyle w:val="EndnoteReference"/>
        </w:rPr>
        <w:endnoteRef/>
      </w:r>
      <w:r w:rsidRPr="00B71607">
        <w:t xml:space="preserve"> </w:t>
      </w:r>
      <w:r>
        <w:t>“Bottlenecks”</w:t>
      </w:r>
      <w:r w:rsidRPr="00B71607">
        <w:t xml:space="preserve"> </w:t>
      </w:r>
      <w:r>
        <w:t>occur</w:t>
      </w:r>
      <w:r w:rsidRPr="00B71607">
        <w:t xml:space="preserve"> </w:t>
      </w:r>
      <w:r>
        <w:t>in</w:t>
      </w:r>
      <w:r w:rsidRPr="00B71607">
        <w:t xml:space="preserve"> </w:t>
      </w:r>
      <w:r>
        <w:t>an</w:t>
      </w:r>
      <w:r w:rsidRPr="00B71607">
        <w:t xml:space="preserve"> </w:t>
      </w:r>
      <w:r>
        <w:t>economy</w:t>
      </w:r>
      <w:r w:rsidRPr="00B71607">
        <w:t xml:space="preserve"> </w:t>
      </w:r>
      <w:r>
        <w:t>with</w:t>
      </w:r>
      <w:r w:rsidRPr="00B71607">
        <w:t xml:space="preserve"> </w:t>
      </w:r>
      <w:r>
        <w:t>heterogeneous</w:t>
      </w:r>
      <w:r w:rsidRPr="00B71607">
        <w:t xml:space="preserve"> </w:t>
      </w:r>
      <w:r>
        <w:t>products</w:t>
      </w:r>
      <w:r w:rsidR="0056593E">
        <w:t xml:space="preserve"> </w:t>
      </w:r>
      <w:r w:rsidR="00BE2224">
        <w:t xml:space="preserve">and “factors of production” </w:t>
      </w:r>
      <w:r w:rsidR="0056593E">
        <w:t>(</w:t>
      </w:r>
      <w:r w:rsidR="00BE2224">
        <w:t xml:space="preserve">and one </w:t>
      </w:r>
      <w:r w:rsidR="0056593E">
        <w:t>not ruled by a RF)</w:t>
      </w:r>
      <w:r>
        <w:t>.</w:t>
      </w:r>
      <w:r w:rsidRPr="00B71607">
        <w:t xml:space="preserve"> </w:t>
      </w:r>
      <w:r>
        <w:t>As</w:t>
      </w:r>
      <w:r w:rsidRPr="00B71607">
        <w:t xml:space="preserve"> </w:t>
      </w:r>
      <w:r>
        <w:t>one</w:t>
      </w:r>
      <w:r w:rsidRPr="00B71607">
        <w:t xml:space="preserve"> </w:t>
      </w:r>
      <w:r>
        <w:t>sector</w:t>
      </w:r>
      <w:r w:rsidRPr="00B71607">
        <w:t xml:space="preserve"> </w:t>
      </w:r>
      <w:r>
        <w:t>hits</w:t>
      </w:r>
      <w:r w:rsidRPr="00B71607">
        <w:t xml:space="preserve"> </w:t>
      </w:r>
      <w:r>
        <w:t>full</w:t>
      </w:r>
      <w:r w:rsidRPr="00B71607">
        <w:t xml:space="preserve"> </w:t>
      </w:r>
      <w:r>
        <w:t>capacity</w:t>
      </w:r>
      <w:r w:rsidRPr="00B71607">
        <w:t xml:space="preserve"> </w:t>
      </w:r>
      <w:r w:rsidR="0056593E">
        <w:t xml:space="preserve">use </w:t>
      </w:r>
      <w:r>
        <w:t>or</w:t>
      </w:r>
      <w:r w:rsidRPr="00B71607">
        <w:t xml:space="preserve"> </w:t>
      </w:r>
      <w:r>
        <w:t>the</w:t>
      </w:r>
      <w:r w:rsidRPr="00B71607">
        <w:t xml:space="preserve"> </w:t>
      </w:r>
      <w:r>
        <w:t>full</w:t>
      </w:r>
      <w:r w:rsidRPr="00B71607">
        <w:t xml:space="preserve"> </w:t>
      </w:r>
      <w:r>
        <w:t>employment</w:t>
      </w:r>
      <w:r w:rsidRPr="00B71607">
        <w:t xml:space="preserve"> </w:t>
      </w:r>
      <w:r>
        <w:t>of</w:t>
      </w:r>
      <w:r w:rsidRPr="00B71607">
        <w:t xml:space="preserve"> </w:t>
      </w:r>
      <w:r>
        <w:t>specialized</w:t>
      </w:r>
      <w:r w:rsidRPr="00B71607">
        <w:t xml:space="preserve"> </w:t>
      </w:r>
      <w:r>
        <w:t>labor-power,</w:t>
      </w:r>
      <w:r w:rsidRPr="00B71607">
        <w:t xml:space="preserve"> </w:t>
      </w:r>
      <w:r>
        <w:t>that</w:t>
      </w:r>
      <w:r w:rsidRPr="00B71607">
        <w:t xml:space="preserve"> </w:t>
      </w:r>
      <w:r>
        <w:t>i</w:t>
      </w:r>
      <w:r>
        <w:t>m</w:t>
      </w:r>
      <w:r>
        <w:t>poses</w:t>
      </w:r>
      <w:r w:rsidRPr="00B71607">
        <w:t xml:space="preserve"> </w:t>
      </w:r>
      <w:r>
        <w:t>higher</w:t>
      </w:r>
      <w:r w:rsidRPr="00B71607">
        <w:t xml:space="preserve"> </w:t>
      </w:r>
      <w:r>
        <w:t>costs</w:t>
      </w:r>
      <w:r w:rsidRPr="00B71607">
        <w:t xml:space="preserve"> </w:t>
      </w:r>
      <w:r>
        <w:t>on</w:t>
      </w:r>
      <w:r w:rsidRPr="00B71607">
        <w:t xml:space="preserve"> </w:t>
      </w:r>
      <w:r>
        <w:t>firms</w:t>
      </w:r>
      <w:r w:rsidRPr="00B71607">
        <w:t xml:space="preserve"> </w:t>
      </w:r>
      <w:r>
        <w:t>in</w:t>
      </w:r>
      <w:r w:rsidRPr="00B71607">
        <w:t xml:space="preserve"> </w:t>
      </w:r>
      <w:r>
        <w:t>other</w:t>
      </w:r>
      <w:r w:rsidRPr="00B71607">
        <w:t xml:space="preserve"> </w:t>
      </w:r>
      <w:r>
        <w:t>sectors.</w:t>
      </w:r>
      <w:r w:rsidRPr="00B71607">
        <w:t xml:space="preserve"> </w:t>
      </w:r>
      <w:r>
        <w:t>As</w:t>
      </w:r>
      <w:r w:rsidRPr="00B71607">
        <w:t xml:space="preserve"> </w:t>
      </w:r>
      <w:r w:rsidRPr="00865CCB">
        <w:rPr>
          <w:b/>
        </w:rPr>
        <w:t>D</w:t>
      </w:r>
      <w:r w:rsidRPr="00B71607">
        <w:t xml:space="preserve"> </w:t>
      </w:r>
      <w:r>
        <w:t>approaches</w:t>
      </w:r>
      <w:r w:rsidRPr="00B71607">
        <w:t xml:space="preserve"> </w:t>
      </w:r>
      <w:r>
        <w:t>and</w:t>
      </w:r>
      <w:r w:rsidRPr="00B71607">
        <w:t xml:space="preserve"> </w:t>
      </w:r>
      <w:r>
        <w:t>then</w:t>
      </w:r>
      <w:r w:rsidRPr="00B71607">
        <w:t xml:space="preserve"> </w:t>
      </w:r>
      <w:r>
        <w:t>exceeds</w:t>
      </w:r>
      <w:r w:rsidRPr="00B71607">
        <w:t xml:space="preserve"> </w:t>
      </w:r>
      <w:r>
        <w:rPr>
          <w:b/>
        </w:rPr>
        <w:t>F</w:t>
      </w:r>
      <w:r>
        <w:t>,</w:t>
      </w:r>
      <w:r w:rsidRPr="00B71607">
        <w:t xml:space="preserve"> </w:t>
      </w:r>
      <w:r>
        <w:t>the</w:t>
      </w:r>
      <w:r w:rsidRPr="00B71607">
        <w:t xml:space="preserve"> </w:t>
      </w:r>
      <w:r>
        <w:t>bottlenecks</w:t>
      </w:r>
      <w:r w:rsidRPr="00B71607">
        <w:t xml:space="preserve"> </w:t>
      </w:r>
      <w:r>
        <w:t>become</w:t>
      </w:r>
      <w:r w:rsidRPr="00B71607">
        <w:t xml:space="preserve"> </w:t>
      </w:r>
      <w:r>
        <w:t>general</w:t>
      </w:r>
      <w:r w:rsidRPr="00B71607">
        <w:t xml:space="preserve"> </w:t>
      </w:r>
      <w:r>
        <w:t>and</w:t>
      </w:r>
      <w:r w:rsidRPr="00B71607">
        <w:t xml:space="preserve"> </w:t>
      </w:r>
      <w:r w:rsidR="0056593E">
        <w:t>eventua</w:t>
      </w:r>
      <w:r w:rsidR="0056593E">
        <w:t>l</w:t>
      </w:r>
      <w:r w:rsidR="0056593E">
        <w:t xml:space="preserve">ly </w:t>
      </w:r>
      <w:r>
        <w:t>universal.</w:t>
      </w:r>
    </w:p>
  </w:endnote>
  <w:endnote w:id="26">
    <w:p w:rsidR="00162AC4" w:rsidRDefault="00162A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This</w:t>
      </w:r>
      <w:r w:rsidRPr="00B71607">
        <w:t xml:space="preserve"> </w:t>
      </w:r>
      <w:r>
        <w:t>result</w:t>
      </w:r>
      <w:r w:rsidRPr="00B71607">
        <w:t xml:space="preserve"> </w:t>
      </w:r>
      <w:r>
        <w:t>also</w:t>
      </w:r>
      <w:r w:rsidRPr="00B71607">
        <w:t xml:space="preserve"> </w:t>
      </w:r>
      <w:r>
        <w:t>occurs</w:t>
      </w:r>
      <w:r w:rsidRPr="00B71607">
        <w:t xml:space="preserve"> </w:t>
      </w:r>
      <w:r>
        <w:t>if</w:t>
      </w:r>
      <w:r w:rsidRPr="00B71607">
        <w:t xml:space="preserve"> </w:t>
      </w:r>
      <w:r>
        <w:t>we</w:t>
      </w:r>
      <w:r w:rsidRPr="00B71607">
        <w:t xml:space="preserve"> </w:t>
      </w:r>
      <w:r>
        <w:t>start</w:t>
      </w:r>
      <w:r w:rsidRPr="00B71607">
        <w:t xml:space="preserve"> </w:t>
      </w:r>
      <w:r>
        <w:t>with</w:t>
      </w:r>
      <w:r w:rsidRPr="00B71607">
        <w:t xml:space="preserve"> </w:t>
      </w:r>
      <w:r w:rsidRPr="00D4213A">
        <w:rPr>
          <w:noProof/>
        </w:rPr>
        <w:t>Harrod’s</w:t>
      </w:r>
      <w:r w:rsidRPr="00B71607">
        <w:t xml:space="preserve"> </w:t>
      </w:r>
      <w:r>
        <w:t>initial</w:t>
      </w:r>
      <w:r w:rsidRPr="00B71607">
        <w:t xml:space="preserve"> </w:t>
      </w:r>
      <w:r>
        <w:t>situation</w:t>
      </w:r>
      <w:r w:rsidRPr="00B71607">
        <w:t xml:space="preserve"> </w:t>
      </w:r>
      <w:r>
        <w:t>and</w:t>
      </w:r>
      <w:r w:rsidRPr="00B71607">
        <w:t xml:space="preserve"> </w:t>
      </w:r>
      <w:r>
        <w:t>then</w:t>
      </w:r>
      <w:r w:rsidRPr="00B71607">
        <w:t xml:space="preserve"> </w:t>
      </w:r>
      <w:proofErr w:type="spellStart"/>
      <w:r>
        <w:rPr>
          <w:b/>
        </w:rPr>
        <w:t>g</w:t>
      </w:r>
      <w:r>
        <w:rPr>
          <w:b/>
          <w:smallCaps/>
          <w:vertAlign w:val="subscript"/>
        </w:rPr>
        <w:t>f</w:t>
      </w:r>
      <w:proofErr w:type="spellEnd"/>
      <w:r w:rsidRPr="00B71607">
        <w:t xml:space="preserve"> </w:t>
      </w:r>
      <w:r>
        <w:t>falls.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53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581" w:rsidRDefault="00BB1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43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70" w:rsidRDefault="00321870" w:rsidP="008E4D81">
      <w:pPr>
        <w:spacing w:before="0" w:after="0" w:line="240" w:lineRule="auto"/>
      </w:pPr>
      <w:r>
        <w:separator/>
      </w:r>
    </w:p>
  </w:footnote>
  <w:footnote w:type="continuationSeparator" w:id="0">
    <w:p w:rsidR="00321870" w:rsidRDefault="00321870" w:rsidP="008E4D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81" w:rsidRPr="004B33D4" w:rsidRDefault="00321870">
    <w:pPr>
      <w:pStyle w:val="Header"/>
      <w:rPr>
        <w:color w:val="000000" w:themeColor="text1"/>
      </w:rPr>
    </w:pPr>
    <w:sdt>
      <w:sdtPr>
        <w:rPr>
          <w:color w:val="000000" w:themeColor="text1"/>
        </w:rPr>
        <w:alias w:val="Author"/>
        <w:tag w:val=""/>
        <w:id w:val="-793132468"/>
        <w:placeholder>
          <w:docPart w:val="B1A76F79CF094941B62524B9CECC69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B1581" w:rsidRPr="00B71607">
          <w:rPr>
            <w:color w:val="000000" w:themeColor="text1"/>
          </w:rPr>
          <w:t>James Devine</w:t>
        </w:r>
      </w:sdtContent>
    </w:sdt>
    <w:r w:rsidR="00BB1581" w:rsidRPr="004B33D4">
      <w:rPr>
        <w:color w:val="000000" w:themeColor="text1"/>
      </w:rPr>
      <w:t>/</w:t>
    </w:r>
    <w:r w:rsidR="00BB1581" w:rsidRPr="004B33D4">
      <w:rPr>
        <w:color w:val="000000" w:themeColor="text1"/>
      </w:rPr>
      <w:fldChar w:fldCharType="begin"/>
    </w:r>
    <w:r w:rsidR="00BB1581" w:rsidRPr="004B33D4">
      <w:rPr>
        <w:color w:val="000000" w:themeColor="text1"/>
      </w:rPr>
      <w:instrText xml:space="preserve"> DATE  \@ "MMMM d, yyyy"  \* MERGEFORMAT </w:instrText>
    </w:r>
    <w:r w:rsidR="00BB1581" w:rsidRPr="004B33D4">
      <w:rPr>
        <w:color w:val="000000" w:themeColor="text1"/>
      </w:rPr>
      <w:fldChar w:fldCharType="separate"/>
    </w:r>
    <w:r w:rsidR="00292438">
      <w:rPr>
        <w:noProof/>
        <w:color w:val="000000" w:themeColor="text1"/>
      </w:rPr>
      <w:t>March 19, 2015</w:t>
    </w:r>
    <w:r w:rsidR="00BB1581" w:rsidRPr="004B33D4">
      <w:rPr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F27"/>
    <w:multiLevelType w:val="multilevel"/>
    <w:tmpl w:val="03040D0E"/>
    <w:lvl w:ilvl="0">
      <w:start w:val="1"/>
      <w:numFmt w:val="decimal"/>
      <w:pStyle w:val="StyleH3Cambr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AA05FE"/>
    <w:multiLevelType w:val="hybridMultilevel"/>
    <w:tmpl w:val="2B549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39D"/>
    <w:multiLevelType w:val="multilevel"/>
    <w:tmpl w:val="BF547A52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ascii="Cambria" w:hAnsi="Cambria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288" w:hanging="144"/>
      </w:pPr>
      <w:rPr>
        <w:rFonts w:ascii="Cambria" w:hAnsi="Cambria" w:hint="default"/>
        <w:b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432" w:hanging="144"/>
      </w:pPr>
      <w:rPr>
        <w:rFonts w:ascii="Cambria" w:hAnsi="Cambria" w:hint="default"/>
        <w:b/>
        <w:i w:val="0"/>
        <w:sz w:val="20"/>
      </w:rPr>
    </w:lvl>
    <w:lvl w:ilvl="3">
      <w:start w:val="1"/>
      <w:numFmt w:val="lowerLetter"/>
      <w:suff w:val="space"/>
      <w:lvlText w:val="%4)"/>
      <w:lvlJc w:val="left"/>
      <w:pPr>
        <w:ind w:left="576" w:hanging="144"/>
      </w:pPr>
      <w:rPr>
        <w:rFonts w:ascii="Cambria" w:hAnsi="Cambria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720" w:hanging="144"/>
      </w:pPr>
      <w:rPr>
        <w:rFonts w:ascii="Cambria" w:hAnsi="Cambria" w:hint="default"/>
        <w:b/>
        <w:i w:val="0"/>
        <w:sz w:val="24"/>
      </w:rPr>
    </w:lvl>
    <w:lvl w:ilvl="5">
      <w:start w:val="1"/>
      <w:numFmt w:val="lowerLetter"/>
      <w:suff w:val="space"/>
      <w:lvlText w:val="(%6)"/>
      <w:lvlJc w:val="left"/>
      <w:pPr>
        <w:ind w:left="864" w:hanging="144"/>
      </w:pPr>
      <w:rPr>
        <w:rFonts w:ascii="Cambria" w:hAnsi="Cambria" w:hint="default"/>
        <w:b/>
        <w:i w:val="0"/>
        <w:sz w:val="20"/>
      </w:rPr>
    </w:lvl>
    <w:lvl w:ilvl="6">
      <w:start w:val="1"/>
      <w:numFmt w:val="lowerRoman"/>
      <w:suff w:val="space"/>
      <w:lvlText w:val="(%7)"/>
      <w:lvlJc w:val="left"/>
      <w:pPr>
        <w:ind w:left="1008" w:hanging="144"/>
      </w:pPr>
      <w:rPr>
        <w:rFonts w:ascii="Cambria" w:hAnsi="Cambria" w:hint="default"/>
        <w:b/>
        <w:i w:val="0"/>
        <w:sz w:val="20"/>
      </w:rPr>
    </w:lvl>
    <w:lvl w:ilvl="7">
      <w:start w:val="1"/>
      <w:numFmt w:val="lowerLetter"/>
      <w:suff w:val="space"/>
      <w:lvlText w:val="(%8)"/>
      <w:lvlJc w:val="left"/>
      <w:pPr>
        <w:ind w:left="1152" w:hanging="144"/>
      </w:pPr>
      <w:rPr>
        <w:rFonts w:ascii="Cambria" w:hAnsi="Cambria" w:hint="default"/>
        <w:b/>
        <w:i w:val="0"/>
        <w:sz w:val="20"/>
      </w:rPr>
    </w:lvl>
    <w:lvl w:ilvl="8">
      <w:start w:val="1"/>
      <w:numFmt w:val="bullet"/>
      <w:suff w:val="nothing"/>
      <w:lvlText w:val=""/>
      <w:lvlJc w:val="left"/>
      <w:pPr>
        <w:ind w:left="1296" w:hanging="144"/>
      </w:pPr>
      <w:rPr>
        <w:rFonts w:ascii="Symbol" w:hAnsi="Symbol" w:hint="default"/>
        <w:color w:val="auto"/>
      </w:rPr>
    </w:lvl>
  </w:abstractNum>
  <w:abstractNum w:abstractNumId="3">
    <w:nsid w:val="44216E86"/>
    <w:multiLevelType w:val="multilevel"/>
    <w:tmpl w:val="CEF04210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ascii="Cambria" w:hAnsi="Cambria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288" w:hanging="14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432" w:hanging="144"/>
      </w:pPr>
      <w:rPr>
        <w:rFonts w:ascii="Cambria" w:hAnsi="Cambria" w:hint="default"/>
        <w:b/>
        <w:i w:val="0"/>
      </w:rPr>
    </w:lvl>
    <w:lvl w:ilvl="3">
      <w:start w:val="1"/>
      <w:numFmt w:val="lowerLetter"/>
      <w:suff w:val="space"/>
      <w:lvlText w:val="%4."/>
      <w:lvlJc w:val="left"/>
      <w:pPr>
        <w:ind w:left="576" w:hanging="144"/>
      </w:pPr>
      <w:rPr>
        <w:rFonts w:hint="default"/>
        <w:b/>
        <w:i w:val="0"/>
      </w:rPr>
    </w:lvl>
    <w:lvl w:ilvl="4">
      <w:start w:val="1"/>
      <w:numFmt w:val="lowerRoman"/>
      <w:suff w:val="space"/>
      <w:lvlText w:val="(%5)"/>
      <w:lvlJc w:val="left"/>
      <w:pPr>
        <w:ind w:left="720" w:hanging="144"/>
      </w:pPr>
      <w:rPr>
        <w:rFonts w:hint="default"/>
        <w:b/>
        <w:i w:val="0"/>
      </w:rPr>
    </w:lvl>
    <w:lvl w:ilvl="5">
      <w:start w:val="1"/>
      <w:numFmt w:val="upperLetter"/>
      <w:suff w:val="space"/>
      <w:lvlText w:val="(%6)"/>
      <w:lvlJc w:val="left"/>
      <w:pPr>
        <w:ind w:left="864" w:hanging="144"/>
      </w:pPr>
      <w:rPr>
        <w:rFonts w:hint="default"/>
        <w:b/>
        <w:i w:val="0"/>
        <w:sz w:val="20"/>
      </w:rPr>
    </w:lvl>
    <w:lvl w:ilvl="6">
      <w:start w:val="1"/>
      <w:numFmt w:val="decimal"/>
      <w:suff w:val="space"/>
      <w:lvlText w:val="(%7)"/>
      <w:lvlJc w:val="left"/>
      <w:pPr>
        <w:ind w:left="1008" w:hanging="144"/>
      </w:pPr>
      <w:rPr>
        <w:rFonts w:hint="default"/>
        <w:b/>
        <w:i w:val="0"/>
      </w:rPr>
    </w:lvl>
    <w:lvl w:ilvl="7">
      <w:start w:val="1"/>
      <w:numFmt w:val="lowerLetter"/>
      <w:suff w:val="space"/>
      <w:lvlText w:val="(%8)"/>
      <w:lvlJc w:val="left"/>
      <w:pPr>
        <w:ind w:left="1152" w:hanging="144"/>
      </w:pPr>
      <w:rPr>
        <w:rFonts w:hint="default"/>
        <w:b/>
        <w:i w:val="0"/>
      </w:rPr>
    </w:lvl>
    <w:lvl w:ilvl="8">
      <w:start w:val="1"/>
      <w:numFmt w:val="bullet"/>
      <w:suff w:val="space"/>
      <w:lvlText w:val=""/>
      <w:lvlJc w:val="left"/>
      <w:pPr>
        <w:ind w:left="1296" w:hanging="144"/>
      </w:pPr>
      <w:rPr>
        <w:rFonts w:ascii="Symbol" w:hAnsi="Symbol" w:hint="default"/>
        <w:b/>
        <w:i w:val="0"/>
        <w:color w:val="auto"/>
      </w:rPr>
    </w:lvl>
  </w:abstractNum>
  <w:abstractNum w:abstractNumId="4">
    <w:nsid w:val="489824FA"/>
    <w:multiLevelType w:val="hybridMultilevel"/>
    <w:tmpl w:val="74DA73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20B9"/>
    <w:multiLevelType w:val="multilevel"/>
    <w:tmpl w:val="63F4F3D6"/>
    <w:lvl w:ilvl="0">
      <w:start w:val="1"/>
      <w:numFmt w:val="upperRoman"/>
      <w:pStyle w:val="H2"/>
      <w:suff w:val="space"/>
      <w:lvlText w:val="%1."/>
      <w:lvlJc w:val="left"/>
      <w:pPr>
        <w:ind w:left="144" w:hanging="14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pStyle w:val="H3"/>
      <w:suff w:val="space"/>
      <w:lvlText w:val="%2."/>
      <w:lvlJc w:val="left"/>
      <w:pPr>
        <w:ind w:left="288" w:hanging="144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4"/>
      <w:suff w:val="space"/>
      <w:lvlText w:val="%3."/>
      <w:lvlJc w:val="left"/>
      <w:pPr>
        <w:ind w:left="432" w:hanging="144"/>
      </w:pPr>
      <w:rPr>
        <w:rFonts w:hint="default"/>
        <w:b/>
        <w:i w:val="0"/>
        <w:color w:val="000000"/>
        <w:sz w:val="24"/>
      </w:rPr>
    </w:lvl>
    <w:lvl w:ilvl="3">
      <w:start w:val="1"/>
      <w:numFmt w:val="lowerLetter"/>
      <w:pStyle w:val="H5"/>
      <w:suff w:val="space"/>
      <w:lvlText w:val="%4."/>
      <w:lvlJc w:val="left"/>
      <w:pPr>
        <w:ind w:left="576" w:hanging="144"/>
      </w:pPr>
      <w:rPr>
        <w:rFonts w:hint="default"/>
        <w:b/>
        <w:i w:val="0"/>
        <w:sz w:val="24"/>
      </w:rPr>
    </w:lvl>
    <w:lvl w:ilvl="4">
      <w:start w:val="1"/>
      <w:numFmt w:val="lowerRoman"/>
      <w:pStyle w:val="Heading6"/>
      <w:suff w:val="space"/>
      <w:lvlText w:val="(%5)"/>
      <w:lvlJc w:val="left"/>
      <w:pPr>
        <w:ind w:left="720" w:hanging="144"/>
      </w:pPr>
      <w:rPr>
        <w:rFonts w:hint="default"/>
        <w:b/>
        <w:i w:val="0"/>
        <w:color w:val="auto"/>
        <w:sz w:val="20"/>
      </w:rPr>
    </w:lvl>
    <w:lvl w:ilvl="5">
      <w:start w:val="1"/>
      <w:numFmt w:val="upperLetter"/>
      <w:pStyle w:val="Heading7"/>
      <w:suff w:val="space"/>
      <w:lvlText w:val="(%6)"/>
      <w:lvlJc w:val="left"/>
      <w:pPr>
        <w:ind w:left="864" w:hanging="144"/>
      </w:pPr>
      <w:rPr>
        <w:rFonts w:hint="default"/>
        <w:b/>
        <w:i w:val="0"/>
        <w:color w:val="auto"/>
        <w:sz w:val="20"/>
      </w:rPr>
    </w:lvl>
    <w:lvl w:ilvl="6">
      <w:start w:val="1"/>
      <w:numFmt w:val="decimal"/>
      <w:pStyle w:val="Heading8"/>
      <w:suff w:val="space"/>
      <w:lvlText w:val="(%7)"/>
      <w:lvlJc w:val="left"/>
      <w:pPr>
        <w:ind w:left="1008" w:hanging="144"/>
      </w:pPr>
      <w:rPr>
        <w:rFonts w:hint="default"/>
        <w:b/>
        <w:i w:val="0"/>
        <w:sz w:val="20"/>
      </w:rPr>
    </w:lvl>
    <w:lvl w:ilvl="7">
      <w:start w:val="1"/>
      <w:numFmt w:val="lowerLetter"/>
      <w:pStyle w:val="Heading9"/>
      <w:suff w:val="space"/>
      <w:lvlText w:val="(%8)"/>
      <w:lvlJc w:val="left"/>
      <w:pPr>
        <w:ind w:left="1152" w:hanging="144"/>
      </w:pPr>
      <w:rPr>
        <w:rFonts w:ascii="Cambria" w:hAnsi="Cambria" w:hint="default"/>
        <w:b/>
        <w:i w:val="0"/>
        <w:sz w:val="20"/>
      </w:rPr>
    </w:lvl>
    <w:lvl w:ilvl="8">
      <w:start w:val="1"/>
      <w:numFmt w:val="bullet"/>
      <w:suff w:val="space"/>
      <w:lvlText w:val=""/>
      <w:lvlJc w:val="left"/>
      <w:pPr>
        <w:ind w:left="1296" w:hanging="144"/>
      </w:pPr>
      <w:rPr>
        <w:rFonts w:ascii="Symbol" w:hAnsi="Symbol" w:hint="default"/>
        <w:color w:val="auto"/>
      </w:rPr>
    </w:lvl>
  </w:abstractNum>
  <w:abstractNum w:abstractNumId="6">
    <w:nsid w:val="4D7D706A"/>
    <w:multiLevelType w:val="multilevel"/>
    <w:tmpl w:val="E772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tyleHeading9LatinCambria12ptNotItalic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tyleHeading9LatinCambria12ptNotItalic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EF1932"/>
    <w:multiLevelType w:val="multilevel"/>
    <w:tmpl w:val="10280BEC"/>
    <w:lvl w:ilvl="0">
      <w:start w:val="1"/>
      <w:numFmt w:val="upperLetter"/>
      <w:suff w:val="space"/>
      <w:lvlText w:val="%1)"/>
      <w:lvlJc w:val="left"/>
      <w:pPr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99617AC"/>
    <w:multiLevelType w:val="hybridMultilevel"/>
    <w:tmpl w:val="C284C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742E"/>
    <w:multiLevelType w:val="hybridMultilevel"/>
    <w:tmpl w:val="B96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D6A6D"/>
    <w:multiLevelType w:val="hybridMultilevel"/>
    <w:tmpl w:val="6758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94826"/>
    <w:multiLevelType w:val="multilevel"/>
    <w:tmpl w:val="E57660CE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upperLetter"/>
      <w:suff w:val="space"/>
      <w:lvlText w:val="%2."/>
      <w:lvlJc w:val="left"/>
      <w:pPr>
        <w:ind w:left="288" w:hanging="144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432" w:hanging="144"/>
      </w:pPr>
      <w:rPr>
        <w:rFonts w:hint="default"/>
        <w:b/>
        <w:i w:val="0"/>
        <w:color w:val="000000"/>
        <w:sz w:val="24"/>
      </w:rPr>
    </w:lvl>
    <w:lvl w:ilvl="3">
      <w:start w:val="1"/>
      <w:numFmt w:val="lowerLetter"/>
      <w:suff w:val="space"/>
      <w:lvlText w:val="%4."/>
      <w:lvlJc w:val="left"/>
      <w:pPr>
        <w:ind w:left="576" w:hanging="144"/>
      </w:pPr>
      <w:rPr>
        <w:rFonts w:hint="default"/>
        <w:b/>
        <w:i w:val="0"/>
        <w:sz w:val="24"/>
      </w:rPr>
    </w:lvl>
    <w:lvl w:ilvl="4">
      <w:start w:val="1"/>
      <w:numFmt w:val="lowerRoman"/>
      <w:suff w:val="space"/>
      <w:lvlText w:val="(%5)"/>
      <w:lvlJc w:val="left"/>
      <w:pPr>
        <w:ind w:left="720" w:hanging="144"/>
      </w:pPr>
      <w:rPr>
        <w:rFonts w:hint="default"/>
        <w:b/>
        <w:i w:val="0"/>
        <w:color w:val="auto"/>
        <w:sz w:val="20"/>
      </w:rPr>
    </w:lvl>
    <w:lvl w:ilvl="5">
      <w:start w:val="1"/>
      <w:numFmt w:val="upperLetter"/>
      <w:suff w:val="space"/>
      <w:lvlText w:val="(%6)"/>
      <w:lvlJc w:val="left"/>
      <w:pPr>
        <w:ind w:left="864" w:hanging="144"/>
      </w:pPr>
      <w:rPr>
        <w:rFonts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(%7)"/>
      <w:lvlJc w:val="left"/>
      <w:pPr>
        <w:ind w:left="1008" w:hanging="144"/>
      </w:pPr>
      <w:rPr>
        <w:rFonts w:hint="default"/>
        <w:b/>
        <w:i w:val="0"/>
        <w:sz w:val="20"/>
      </w:rPr>
    </w:lvl>
    <w:lvl w:ilvl="7">
      <w:start w:val="1"/>
      <w:numFmt w:val="lowerLetter"/>
      <w:suff w:val="space"/>
      <w:lvlText w:val="(%8)"/>
      <w:lvlJc w:val="left"/>
      <w:pPr>
        <w:ind w:left="1152" w:hanging="144"/>
      </w:pPr>
      <w:rPr>
        <w:rFonts w:ascii="Cambria" w:hAnsi="Cambria" w:hint="default"/>
        <w:b/>
        <w:i w:val="0"/>
        <w:sz w:val="20"/>
      </w:rPr>
    </w:lvl>
    <w:lvl w:ilvl="8">
      <w:start w:val="1"/>
      <w:numFmt w:val="bullet"/>
      <w:suff w:val="space"/>
      <w:lvlText w:val=""/>
      <w:lvlJc w:val="left"/>
      <w:pPr>
        <w:ind w:left="1296" w:hanging="144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0"/>
  </w:num>
  <w:num w:numId="9">
    <w:abstractNumId w:val="2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4"/>
  </w:num>
  <w:num w:numId="34">
    <w:abstractNumId w:val="1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8A"/>
    <w:rsid w:val="000043A1"/>
    <w:rsid w:val="0001078C"/>
    <w:rsid w:val="000108B0"/>
    <w:rsid w:val="00011767"/>
    <w:rsid w:val="00011FAE"/>
    <w:rsid w:val="000133FE"/>
    <w:rsid w:val="000139EE"/>
    <w:rsid w:val="00014546"/>
    <w:rsid w:val="00021A5C"/>
    <w:rsid w:val="00022133"/>
    <w:rsid w:val="00022991"/>
    <w:rsid w:val="00022D59"/>
    <w:rsid w:val="00023F9E"/>
    <w:rsid w:val="00023FF7"/>
    <w:rsid w:val="00026347"/>
    <w:rsid w:val="00026840"/>
    <w:rsid w:val="00027178"/>
    <w:rsid w:val="00027C60"/>
    <w:rsid w:val="00027F20"/>
    <w:rsid w:val="000304AC"/>
    <w:rsid w:val="0003146B"/>
    <w:rsid w:val="00031EB1"/>
    <w:rsid w:val="000322D7"/>
    <w:rsid w:val="000329F9"/>
    <w:rsid w:val="0003314F"/>
    <w:rsid w:val="00033232"/>
    <w:rsid w:val="0003481B"/>
    <w:rsid w:val="00034E33"/>
    <w:rsid w:val="00037C8A"/>
    <w:rsid w:val="00037EE1"/>
    <w:rsid w:val="00040103"/>
    <w:rsid w:val="000419A9"/>
    <w:rsid w:val="000433A7"/>
    <w:rsid w:val="0004480B"/>
    <w:rsid w:val="00045522"/>
    <w:rsid w:val="000455A9"/>
    <w:rsid w:val="00046B2E"/>
    <w:rsid w:val="00047C3A"/>
    <w:rsid w:val="000509BB"/>
    <w:rsid w:val="00050A7E"/>
    <w:rsid w:val="00052A60"/>
    <w:rsid w:val="00052CDC"/>
    <w:rsid w:val="0005348E"/>
    <w:rsid w:val="00055E20"/>
    <w:rsid w:val="000562D1"/>
    <w:rsid w:val="00057E17"/>
    <w:rsid w:val="00057E84"/>
    <w:rsid w:val="000616CA"/>
    <w:rsid w:val="0006242D"/>
    <w:rsid w:val="0006245A"/>
    <w:rsid w:val="00063812"/>
    <w:rsid w:val="0006485A"/>
    <w:rsid w:val="000668BB"/>
    <w:rsid w:val="000678A9"/>
    <w:rsid w:val="000700FC"/>
    <w:rsid w:val="00070632"/>
    <w:rsid w:val="00070F6A"/>
    <w:rsid w:val="0007268D"/>
    <w:rsid w:val="000737D9"/>
    <w:rsid w:val="00073EDC"/>
    <w:rsid w:val="00080991"/>
    <w:rsid w:val="00081772"/>
    <w:rsid w:val="00081812"/>
    <w:rsid w:val="00082BE0"/>
    <w:rsid w:val="00083D70"/>
    <w:rsid w:val="00084424"/>
    <w:rsid w:val="00085D3B"/>
    <w:rsid w:val="0008685E"/>
    <w:rsid w:val="000869AF"/>
    <w:rsid w:val="0008783B"/>
    <w:rsid w:val="00087E5A"/>
    <w:rsid w:val="000A03FD"/>
    <w:rsid w:val="000A4A9D"/>
    <w:rsid w:val="000A57F9"/>
    <w:rsid w:val="000A5AAC"/>
    <w:rsid w:val="000A600B"/>
    <w:rsid w:val="000A7022"/>
    <w:rsid w:val="000B0348"/>
    <w:rsid w:val="000B1352"/>
    <w:rsid w:val="000B3D40"/>
    <w:rsid w:val="000B71A4"/>
    <w:rsid w:val="000B7844"/>
    <w:rsid w:val="000C03D0"/>
    <w:rsid w:val="000C2DB6"/>
    <w:rsid w:val="000C3EF5"/>
    <w:rsid w:val="000C6256"/>
    <w:rsid w:val="000C628D"/>
    <w:rsid w:val="000D090D"/>
    <w:rsid w:val="000D45FD"/>
    <w:rsid w:val="000D53D1"/>
    <w:rsid w:val="000D6F8D"/>
    <w:rsid w:val="000D7F8D"/>
    <w:rsid w:val="000E10E0"/>
    <w:rsid w:val="000E13F9"/>
    <w:rsid w:val="000E3628"/>
    <w:rsid w:val="000E5D1F"/>
    <w:rsid w:val="000E654F"/>
    <w:rsid w:val="000E6B88"/>
    <w:rsid w:val="000E7342"/>
    <w:rsid w:val="000F335F"/>
    <w:rsid w:val="000F3E7B"/>
    <w:rsid w:val="000F472B"/>
    <w:rsid w:val="000F6164"/>
    <w:rsid w:val="000F7D19"/>
    <w:rsid w:val="0010140F"/>
    <w:rsid w:val="00101513"/>
    <w:rsid w:val="00101575"/>
    <w:rsid w:val="00101B75"/>
    <w:rsid w:val="001023EA"/>
    <w:rsid w:val="001026B2"/>
    <w:rsid w:val="001050AC"/>
    <w:rsid w:val="001100D1"/>
    <w:rsid w:val="001113BB"/>
    <w:rsid w:val="00111447"/>
    <w:rsid w:val="001137B6"/>
    <w:rsid w:val="00114F96"/>
    <w:rsid w:val="0011785E"/>
    <w:rsid w:val="001178DB"/>
    <w:rsid w:val="001203DD"/>
    <w:rsid w:val="00121C34"/>
    <w:rsid w:val="00122031"/>
    <w:rsid w:val="00122E36"/>
    <w:rsid w:val="001232BD"/>
    <w:rsid w:val="00123615"/>
    <w:rsid w:val="00123F08"/>
    <w:rsid w:val="0013113E"/>
    <w:rsid w:val="0013160D"/>
    <w:rsid w:val="00131B43"/>
    <w:rsid w:val="00132626"/>
    <w:rsid w:val="00132BE2"/>
    <w:rsid w:val="0013335D"/>
    <w:rsid w:val="001340CF"/>
    <w:rsid w:val="0013631B"/>
    <w:rsid w:val="00141A08"/>
    <w:rsid w:val="001459D6"/>
    <w:rsid w:val="00145AED"/>
    <w:rsid w:val="00150873"/>
    <w:rsid w:val="00150A14"/>
    <w:rsid w:val="00150B85"/>
    <w:rsid w:val="001519DE"/>
    <w:rsid w:val="00154CF5"/>
    <w:rsid w:val="00155CDC"/>
    <w:rsid w:val="0015666A"/>
    <w:rsid w:val="00156AA0"/>
    <w:rsid w:val="0016001B"/>
    <w:rsid w:val="001608DE"/>
    <w:rsid w:val="00162AC4"/>
    <w:rsid w:val="00162D12"/>
    <w:rsid w:val="00163C69"/>
    <w:rsid w:val="001642C0"/>
    <w:rsid w:val="001650C2"/>
    <w:rsid w:val="0016655A"/>
    <w:rsid w:val="001672CF"/>
    <w:rsid w:val="001700D5"/>
    <w:rsid w:val="0017158F"/>
    <w:rsid w:val="00172998"/>
    <w:rsid w:val="0017573D"/>
    <w:rsid w:val="001765CD"/>
    <w:rsid w:val="00181B02"/>
    <w:rsid w:val="00182B81"/>
    <w:rsid w:val="0019142C"/>
    <w:rsid w:val="0019178C"/>
    <w:rsid w:val="00191B04"/>
    <w:rsid w:val="001939AB"/>
    <w:rsid w:val="001946E5"/>
    <w:rsid w:val="00195070"/>
    <w:rsid w:val="00195C38"/>
    <w:rsid w:val="00196653"/>
    <w:rsid w:val="00196901"/>
    <w:rsid w:val="00197572"/>
    <w:rsid w:val="00197991"/>
    <w:rsid w:val="001A0DC0"/>
    <w:rsid w:val="001A17EB"/>
    <w:rsid w:val="001A5E68"/>
    <w:rsid w:val="001A71F7"/>
    <w:rsid w:val="001A7231"/>
    <w:rsid w:val="001A7EF3"/>
    <w:rsid w:val="001A7F78"/>
    <w:rsid w:val="001B01B7"/>
    <w:rsid w:val="001B2D4D"/>
    <w:rsid w:val="001B4266"/>
    <w:rsid w:val="001B4F24"/>
    <w:rsid w:val="001B535E"/>
    <w:rsid w:val="001B7606"/>
    <w:rsid w:val="001B7838"/>
    <w:rsid w:val="001C00C2"/>
    <w:rsid w:val="001C3573"/>
    <w:rsid w:val="001C3E2C"/>
    <w:rsid w:val="001C5E81"/>
    <w:rsid w:val="001C6B7F"/>
    <w:rsid w:val="001C7365"/>
    <w:rsid w:val="001C7825"/>
    <w:rsid w:val="001D0030"/>
    <w:rsid w:val="001D179B"/>
    <w:rsid w:val="001D24AA"/>
    <w:rsid w:val="001D2D0F"/>
    <w:rsid w:val="001D3DE1"/>
    <w:rsid w:val="001D4045"/>
    <w:rsid w:val="001D6B1E"/>
    <w:rsid w:val="001E0B2A"/>
    <w:rsid w:val="001E298C"/>
    <w:rsid w:val="001E3365"/>
    <w:rsid w:val="001E3B87"/>
    <w:rsid w:val="001E5BAD"/>
    <w:rsid w:val="001E6602"/>
    <w:rsid w:val="001E7F98"/>
    <w:rsid w:val="001F0FC8"/>
    <w:rsid w:val="001F13B2"/>
    <w:rsid w:val="001F1AC1"/>
    <w:rsid w:val="001F254A"/>
    <w:rsid w:val="001F2AFD"/>
    <w:rsid w:val="001F303B"/>
    <w:rsid w:val="001F3F5A"/>
    <w:rsid w:val="001F4EE3"/>
    <w:rsid w:val="001F5419"/>
    <w:rsid w:val="001F54D8"/>
    <w:rsid w:val="001F6A37"/>
    <w:rsid w:val="002005F0"/>
    <w:rsid w:val="002017C9"/>
    <w:rsid w:val="00201C42"/>
    <w:rsid w:val="0020251A"/>
    <w:rsid w:val="00204ACF"/>
    <w:rsid w:val="00205AE9"/>
    <w:rsid w:val="00205D5F"/>
    <w:rsid w:val="00206347"/>
    <w:rsid w:val="002066C3"/>
    <w:rsid w:val="00207C49"/>
    <w:rsid w:val="00212CA8"/>
    <w:rsid w:val="00213B62"/>
    <w:rsid w:val="00213E96"/>
    <w:rsid w:val="00215050"/>
    <w:rsid w:val="0021576C"/>
    <w:rsid w:val="00221690"/>
    <w:rsid w:val="00221F7B"/>
    <w:rsid w:val="002225AA"/>
    <w:rsid w:val="00223C3C"/>
    <w:rsid w:val="00223CB8"/>
    <w:rsid w:val="00225A60"/>
    <w:rsid w:val="0022631F"/>
    <w:rsid w:val="002264BC"/>
    <w:rsid w:val="0023070C"/>
    <w:rsid w:val="00233908"/>
    <w:rsid w:val="00235D46"/>
    <w:rsid w:val="00242B9D"/>
    <w:rsid w:val="0024307B"/>
    <w:rsid w:val="0024434D"/>
    <w:rsid w:val="00244A5E"/>
    <w:rsid w:val="002452EA"/>
    <w:rsid w:val="0024698F"/>
    <w:rsid w:val="00253688"/>
    <w:rsid w:val="00254DFC"/>
    <w:rsid w:val="00255C5A"/>
    <w:rsid w:val="00256495"/>
    <w:rsid w:val="0026136B"/>
    <w:rsid w:val="00261D9D"/>
    <w:rsid w:val="002623BE"/>
    <w:rsid w:val="002636F0"/>
    <w:rsid w:val="0026428B"/>
    <w:rsid w:val="0026467A"/>
    <w:rsid w:val="002654AA"/>
    <w:rsid w:val="00266903"/>
    <w:rsid w:val="00266DFB"/>
    <w:rsid w:val="002708AE"/>
    <w:rsid w:val="002713DE"/>
    <w:rsid w:val="00271842"/>
    <w:rsid w:val="00271B1A"/>
    <w:rsid w:val="00273538"/>
    <w:rsid w:val="00273765"/>
    <w:rsid w:val="0027468B"/>
    <w:rsid w:val="00274B35"/>
    <w:rsid w:val="00277F17"/>
    <w:rsid w:val="00282268"/>
    <w:rsid w:val="00282A74"/>
    <w:rsid w:val="00283C78"/>
    <w:rsid w:val="00283CE7"/>
    <w:rsid w:val="002840A7"/>
    <w:rsid w:val="00284880"/>
    <w:rsid w:val="00285499"/>
    <w:rsid w:val="0028616D"/>
    <w:rsid w:val="00290A53"/>
    <w:rsid w:val="00292160"/>
    <w:rsid w:val="00292438"/>
    <w:rsid w:val="002924DC"/>
    <w:rsid w:val="00293506"/>
    <w:rsid w:val="0029389F"/>
    <w:rsid w:val="00294FE0"/>
    <w:rsid w:val="0029511A"/>
    <w:rsid w:val="00297E16"/>
    <w:rsid w:val="002A0368"/>
    <w:rsid w:val="002A0AB8"/>
    <w:rsid w:val="002A13DF"/>
    <w:rsid w:val="002A4FB0"/>
    <w:rsid w:val="002A50E6"/>
    <w:rsid w:val="002A5BA9"/>
    <w:rsid w:val="002A5D82"/>
    <w:rsid w:val="002A603B"/>
    <w:rsid w:val="002A6DAE"/>
    <w:rsid w:val="002B1DA1"/>
    <w:rsid w:val="002B366E"/>
    <w:rsid w:val="002B55B8"/>
    <w:rsid w:val="002B6246"/>
    <w:rsid w:val="002B7C21"/>
    <w:rsid w:val="002C0E46"/>
    <w:rsid w:val="002C16A2"/>
    <w:rsid w:val="002C2A9A"/>
    <w:rsid w:val="002C4A27"/>
    <w:rsid w:val="002C55DF"/>
    <w:rsid w:val="002C5B0F"/>
    <w:rsid w:val="002C659F"/>
    <w:rsid w:val="002C66F9"/>
    <w:rsid w:val="002C7436"/>
    <w:rsid w:val="002C7848"/>
    <w:rsid w:val="002D01B6"/>
    <w:rsid w:val="002D1973"/>
    <w:rsid w:val="002D1EDD"/>
    <w:rsid w:val="002D5165"/>
    <w:rsid w:val="002D57D4"/>
    <w:rsid w:val="002E057D"/>
    <w:rsid w:val="002E1A8B"/>
    <w:rsid w:val="002E21B4"/>
    <w:rsid w:val="002E2428"/>
    <w:rsid w:val="002E2CC5"/>
    <w:rsid w:val="002E5434"/>
    <w:rsid w:val="002E75BE"/>
    <w:rsid w:val="002E7634"/>
    <w:rsid w:val="002E78C0"/>
    <w:rsid w:val="002F1ED8"/>
    <w:rsid w:val="002F2C2C"/>
    <w:rsid w:val="002F3FF4"/>
    <w:rsid w:val="002F4561"/>
    <w:rsid w:val="002F5A80"/>
    <w:rsid w:val="002F5F2D"/>
    <w:rsid w:val="002F6D04"/>
    <w:rsid w:val="002F7C59"/>
    <w:rsid w:val="00303D6E"/>
    <w:rsid w:val="0030554A"/>
    <w:rsid w:val="00305CF0"/>
    <w:rsid w:val="00305DB6"/>
    <w:rsid w:val="003068AD"/>
    <w:rsid w:val="00310397"/>
    <w:rsid w:val="00311AD2"/>
    <w:rsid w:val="003137AC"/>
    <w:rsid w:val="00314EC9"/>
    <w:rsid w:val="00315770"/>
    <w:rsid w:val="00315A15"/>
    <w:rsid w:val="00316715"/>
    <w:rsid w:val="00316D1D"/>
    <w:rsid w:val="00317295"/>
    <w:rsid w:val="00321870"/>
    <w:rsid w:val="00322EF0"/>
    <w:rsid w:val="0032368B"/>
    <w:rsid w:val="003256EC"/>
    <w:rsid w:val="003262A2"/>
    <w:rsid w:val="00327158"/>
    <w:rsid w:val="003300A8"/>
    <w:rsid w:val="003310F5"/>
    <w:rsid w:val="00331157"/>
    <w:rsid w:val="0033146C"/>
    <w:rsid w:val="0033392A"/>
    <w:rsid w:val="003352A3"/>
    <w:rsid w:val="00337A85"/>
    <w:rsid w:val="00337BCC"/>
    <w:rsid w:val="003405A3"/>
    <w:rsid w:val="00341ACC"/>
    <w:rsid w:val="00342D86"/>
    <w:rsid w:val="00343147"/>
    <w:rsid w:val="00343F86"/>
    <w:rsid w:val="003441B4"/>
    <w:rsid w:val="003463BE"/>
    <w:rsid w:val="00346D68"/>
    <w:rsid w:val="00346F7E"/>
    <w:rsid w:val="003476EF"/>
    <w:rsid w:val="003509EA"/>
    <w:rsid w:val="00350E2F"/>
    <w:rsid w:val="00351B0B"/>
    <w:rsid w:val="00353343"/>
    <w:rsid w:val="0035372F"/>
    <w:rsid w:val="003541AA"/>
    <w:rsid w:val="00355009"/>
    <w:rsid w:val="003553E2"/>
    <w:rsid w:val="00355D86"/>
    <w:rsid w:val="00357244"/>
    <w:rsid w:val="00361A51"/>
    <w:rsid w:val="00362A23"/>
    <w:rsid w:val="00362B5C"/>
    <w:rsid w:val="003632C8"/>
    <w:rsid w:val="00364616"/>
    <w:rsid w:val="0036477C"/>
    <w:rsid w:val="003669AB"/>
    <w:rsid w:val="00367DA9"/>
    <w:rsid w:val="003700EB"/>
    <w:rsid w:val="00371FC1"/>
    <w:rsid w:val="00373963"/>
    <w:rsid w:val="00375576"/>
    <w:rsid w:val="00375E02"/>
    <w:rsid w:val="00375EE8"/>
    <w:rsid w:val="00376135"/>
    <w:rsid w:val="00376723"/>
    <w:rsid w:val="00376C77"/>
    <w:rsid w:val="00380A88"/>
    <w:rsid w:val="00381593"/>
    <w:rsid w:val="00382FB7"/>
    <w:rsid w:val="00384FD0"/>
    <w:rsid w:val="00385F00"/>
    <w:rsid w:val="0038639C"/>
    <w:rsid w:val="00387819"/>
    <w:rsid w:val="0038783E"/>
    <w:rsid w:val="0039111C"/>
    <w:rsid w:val="00392C2F"/>
    <w:rsid w:val="00393A26"/>
    <w:rsid w:val="00394A37"/>
    <w:rsid w:val="00397806"/>
    <w:rsid w:val="003A26C8"/>
    <w:rsid w:val="003A3D42"/>
    <w:rsid w:val="003A4DFA"/>
    <w:rsid w:val="003A74B9"/>
    <w:rsid w:val="003B0356"/>
    <w:rsid w:val="003B0BF7"/>
    <w:rsid w:val="003B19D0"/>
    <w:rsid w:val="003B273B"/>
    <w:rsid w:val="003B48B5"/>
    <w:rsid w:val="003B4E89"/>
    <w:rsid w:val="003B62CB"/>
    <w:rsid w:val="003B654E"/>
    <w:rsid w:val="003B74C6"/>
    <w:rsid w:val="003B76FA"/>
    <w:rsid w:val="003B783B"/>
    <w:rsid w:val="003C0786"/>
    <w:rsid w:val="003C1F73"/>
    <w:rsid w:val="003C213A"/>
    <w:rsid w:val="003C518F"/>
    <w:rsid w:val="003D0E3A"/>
    <w:rsid w:val="003D195B"/>
    <w:rsid w:val="003D2C99"/>
    <w:rsid w:val="003D2FB1"/>
    <w:rsid w:val="003D4B25"/>
    <w:rsid w:val="003D585F"/>
    <w:rsid w:val="003D5D8B"/>
    <w:rsid w:val="003E1CCF"/>
    <w:rsid w:val="003E37E6"/>
    <w:rsid w:val="003E455C"/>
    <w:rsid w:val="003E5484"/>
    <w:rsid w:val="003E634C"/>
    <w:rsid w:val="003E63B0"/>
    <w:rsid w:val="003E7379"/>
    <w:rsid w:val="003F09D9"/>
    <w:rsid w:val="003F1BC8"/>
    <w:rsid w:val="003F4A3E"/>
    <w:rsid w:val="003F5FF2"/>
    <w:rsid w:val="003F61B7"/>
    <w:rsid w:val="003F74AC"/>
    <w:rsid w:val="0040340B"/>
    <w:rsid w:val="00404157"/>
    <w:rsid w:val="004042BD"/>
    <w:rsid w:val="004056CD"/>
    <w:rsid w:val="00407190"/>
    <w:rsid w:val="00411EE7"/>
    <w:rsid w:val="004148CF"/>
    <w:rsid w:val="00422767"/>
    <w:rsid w:val="00423B85"/>
    <w:rsid w:val="00424E80"/>
    <w:rsid w:val="004252C9"/>
    <w:rsid w:val="00425467"/>
    <w:rsid w:val="00425DA1"/>
    <w:rsid w:val="004312AD"/>
    <w:rsid w:val="004312E2"/>
    <w:rsid w:val="00433765"/>
    <w:rsid w:val="004343E5"/>
    <w:rsid w:val="00434D3D"/>
    <w:rsid w:val="00435076"/>
    <w:rsid w:val="0043602D"/>
    <w:rsid w:val="00436935"/>
    <w:rsid w:val="00437DC8"/>
    <w:rsid w:val="00440119"/>
    <w:rsid w:val="004415DD"/>
    <w:rsid w:val="004431CE"/>
    <w:rsid w:val="004458E8"/>
    <w:rsid w:val="00445E3F"/>
    <w:rsid w:val="004465BB"/>
    <w:rsid w:val="00447853"/>
    <w:rsid w:val="00450075"/>
    <w:rsid w:val="0045008F"/>
    <w:rsid w:val="00450109"/>
    <w:rsid w:val="00450724"/>
    <w:rsid w:val="0045093E"/>
    <w:rsid w:val="00450C4E"/>
    <w:rsid w:val="00451F8F"/>
    <w:rsid w:val="00454A3B"/>
    <w:rsid w:val="00455097"/>
    <w:rsid w:val="00455C94"/>
    <w:rsid w:val="0045690C"/>
    <w:rsid w:val="00457CB2"/>
    <w:rsid w:val="004602C8"/>
    <w:rsid w:val="00460A35"/>
    <w:rsid w:val="00460BBF"/>
    <w:rsid w:val="00460E86"/>
    <w:rsid w:val="00461A79"/>
    <w:rsid w:val="0046211E"/>
    <w:rsid w:val="004629F5"/>
    <w:rsid w:val="00462C39"/>
    <w:rsid w:val="004639A1"/>
    <w:rsid w:val="0046436D"/>
    <w:rsid w:val="004676F2"/>
    <w:rsid w:val="00470894"/>
    <w:rsid w:val="00471ED7"/>
    <w:rsid w:val="004726DE"/>
    <w:rsid w:val="00472894"/>
    <w:rsid w:val="004741BC"/>
    <w:rsid w:val="00475F4E"/>
    <w:rsid w:val="00476EA3"/>
    <w:rsid w:val="0048031D"/>
    <w:rsid w:val="00480D6F"/>
    <w:rsid w:val="004813B6"/>
    <w:rsid w:val="0048257A"/>
    <w:rsid w:val="00482A79"/>
    <w:rsid w:val="00482DC9"/>
    <w:rsid w:val="004843B9"/>
    <w:rsid w:val="00485553"/>
    <w:rsid w:val="004866DA"/>
    <w:rsid w:val="00486872"/>
    <w:rsid w:val="00486EC6"/>
    <w:rsid w:val="00487DBE"/>
    <w:rsid w:val="004901C7"/>
    <w:rsid w:val="00496F6F"/>
    <w:rsid w:val="004A00BC"/>
    <w:rsid w:val="004A0DE7"/>
    <w:rsid w:val="004A19BA"/>
    <w:rsid w:val="004A1CAF"/>
    <w:rsid w:val="004A27EE"/>
    <w:rsid w:val="004A3816"/>
    <w:rsid w:val="004A5003"/>
    <w:rsid w:val="004A5117"/>
    <w:rsid w:val="004A58A4"/>
    <w:rsid w:val="004A706A"/>
    <w:rsid w:val="004B0677"/>
    <w:rsid w:val="004B0FC8"/>
    <w:rsid w:val="004B33D4"/>
    <w:rsid w:val="004B37DB"/>
    <w:rsid w:val="004B37DF"/>
    <w:rsid w:val="004B5837"/>
    <w:rsid w:val="004B6242"/>
    <w:rsid w:val="004B76B0"/>
    <w:rsid w:val="004C0760"/>
    <w:rsid w:val="004C19CD"/>
    <w:rsid w:val="004C2A5D"/>
    <w:rsid w:val="004C2B41"/>
    <w:rsid w:val="004C4378"/>
    <w:rsid w:val="004C5EAB"/>
    <w:rsid w:val="004C63FB"/>
    <w:rsid w:val="004D3310"/>
    <w:rsid w:val="004D3457"/>
    <w:rsid w:val="004D439C"/>
    <w:rsid w:val="004D4C02"/>
    <w:rsid w:val="004D572B"/>
    <w:rsid w:val="004D7231"/>
    <w:rsid w:val="004E0412"/>
    <w:rsid w:val="004E1F8E"/>
    <w:rsid w:val="004E2CAE"/>
    <w:rsid w:val="004E36FB"/>
    <w:rsid w:val="004E43B8"/>
    <w:rsid w:val="004E5482"/>
    <w:rsid w:val="004F025D"/>
    <w:rsid w:val="004F06D7"/>
    <w:rsid w:val="004F14D3"/>
    <w:rsid w:val="004F3699"/>
    <w:rsid w:val="004F436D"/>
    <w:rsid w:val="004F4557"/>
    <w:rsid w:val="004F4A89"/>
    <w:rsid w:val="004F5699"/>
    <w:rsid w:val="004F59E2"/>
    <w:rsid w:val="004F5EA6"/>
    <w:rsid w:val="004F5F61"/>
    <w:rsid w:val="004F6C07"/>
    <w:rsid w:val="00501AF3"/>
    <w:rsid w:val="005023AF"/>
    <w:rsid w:val="005023DF"/>
    <w:rsid w:val="00504AE6"/>
    <w:rsid w:val="00504DC8"/>
    <w:rsid w:val="005051F5"/>
    <w:rsid w:val="0050632C"/>
    <w:rsid w:val="0050743F"/>
    <w:rsid w:val="00507463"/>
    <w:rsid w:val="005101AD"/>
    <w:rsid w:val="00510712"/>
    <w:rsid w:val="0051094B"/>
    <w:rsid w:val="00510EA3"/>
    <w:rsid w:val="005124E5"/>
    <w:rsid w:val="00520D21"/>
    <w:rsid w:val="005223F5"/>
    <w:rsid w:val="00524EEB"/>
    <w:rsid w:val="00525E80"/>
    <w:rsid w:val="0052647F"/>
    <w:rsid w:val="00527ADD"/>
    <w:rsid w:val="0053176E"/>
    <w:rsid w:val="00531B9A"/>
    <w:rsid w:val="00531F08"/>
    <w:rsid w:val="005328FC"/>
    <w:rsid w:val="00535AE4"/>
    <w:rsid w:val="005366AC"/>
    <w:rsid w:val="00540BEC"/>
    <w:rsid w:val="0054218C"/>
    <w:rsid w:val="00543AA2"/>
    <w:rsid w:val="00544DA3"/>
    <w:rsid w:val="00546F40"/>
    <w:rsid w:val="005470E9"/>
    <w:rsid w:val="005478EC"/>
    <w:rsid w:val="00547B69"/>
    <w:rsid w:val="005512E1"/>
    <w:rsid w:val="0055154C"/>
    <w:rsid w:val="00552A34"/>
    <w:rsid w:val="00554538"/>
    <w:rsid w:val="00555452"/>
    <w:rsid w:val="00555723"/>
    <w:rsid w:val="0055572C"/>
    <w:rsid w:val="00556289"/>
    <w:rsid w:val="005566F2"/>
    <w:rsid w:val="005568DA"/>
    <w:rsid w:val="00557188"/>
    <w:rsid w:val="00560205"/>
    <w:rsid w:val="00561487"/>
    <w:rsid w:val="005633EB"/>
    <w:rsid w:val="00564CDF"/>
    <w:rsid w:val="00564F66"/>
    <w:rsid w:val="0056593E"/>
    <w:rsid w:val="00567EEA"/>
    <w:rsid w:val="005707FD"/>
    <w:rsid w:val="00571D5B"/>
    <w:rsid w:val="00571EE1"/>
    <w:rsid w:val="00572124"/>
    <w:rsid w:val="00574D64"/>
    <w:rsid w:val="00576075"/>
    <w:rsid w:val="005802EE"/>
    <w:rsid w:val="00581984"/>
    <w:rsid w:val="00583C40"/>
    <w:rsid w:val="00585070"/>
    <w:rsid w:val="00586057"/>
    <w:rsid w:val="00586AD5"/>
    <w:rsid w:val="00587763"/>
    <w:rsid w:val="00587D10"/>
    <w:rsid w:val="00590252"/>
    <w:rsid w:val="00591347"/>
    <w:rsid w:val="00591B50"/>
    <w:rsid w:val="00591F73"/>
    <w:rsid w:val="0059256F"/>
    <w:rsid w:val="005925C2"/>
    <w:rsid w:val="00592636"/>
    <w:rsid w:val="005931E8"/>
    <w:rsid w:val="00594842"/>
    <w:rsid w:val="00597975"/>
    <w:rsid w:val="005A1A40"/>
    <w:rsid w:val="005A2E2E"/>
    <w:rsid w:val="005A315F"/>
    <w:rsid w:val="005A395D"/>
    <w:rsid w:val="005A50D8"/>
    <w:rsid w:val="005A5248"/>
    <w:rsid w:val="005A6384"/>
    <w:rsid w:val="005A689A"/>
    <w:rsid w:val="005A7155"/>
    <w:rsid w:val="005A76DE"/>
    <w:rsid w:val="005A77B4"/>
    <w:rsid w:val="005B2069"/>
    <w:rsid w:val="005B3476"/>
    <w:rsid w:val="005B60FE"/>
    <w:rsid w:val="005B626B"/>
    <w:rsid w:val="005B64C5"/>
    <w:rsid w:val="005B695A"/>
    <w:rsid w:val="005B74B9"/>
    <w:rsid w:val="005B7F48"/>
    <w:rsid w:val="005C19EE"/>
    <w:rsid w:val="005C21D8"/>
    <w:rsid w:val="005C36B0"/>
    <w:rsid w:val="005C5401"/>
    <w:rsid w:val="005C5AE6"/>
    <w:rsid w:val="005D15B6"/>
    <w:rsid w:val="005D1D2A"/>
    <w:rsid w:val="005D1D47"/>
    <w:rsid w:val="005D1FAF"/>
    <w:rsid w:val="005D352C"/>
    <w:rsid w:val="005D4F6E"/>
    <w:rsid w:val="005D5151"/>
    <w:rsid w:val="005D6DD8"/>
    <w:rsid w:val="005D6F9E"/>
    <w:rsid w:val="005E0B82"/>
    <w:rsid w:val="005E0D6F"/>
    <w:rsid w:val="005E202A"/>
    <w:rsid w:val="005E39C7"/>
    <w:rsid w:val="005E51E1"/>
    <w:rsid w:val="005E75B4"/>
    <w:rsid w:val="005F101D"/>
    <w:rsid w:val="005F489F"/>
    <w:rsid w:val="005F4DB1"/>
    <w:rsid w:val="005F52A1"/>
    <w:rsid w:val="005F6DEB"/>
    <w:rsid w:val="005F7767"/>
    <w:rsid w:val="006016DC"/>
    <w:rsid w:val="0060199A"/>
    <w:rsid w:val="00601F2D"/>
    <w:rsid w:val="00604504"/>
    <w:rsid w:val="006045B9"/>
    <w:rsid w:val="006054DB"/>
    <w:rsid w:val="00607667"/>
    <w:rsid w:val="00607793"/>
    <w:rsid w:val="00610816"/>
    <w:rsid w:val="00612216"/>
    <w:rsid w:val="00613F34"/>
    <w:rsid w:val="00613F7A"/>
    <w:rsid w:val="00615EDA"/>
    <w:rsid w:val="00616922"/>
    <w:rsid w:val="00617425"/>
    <w:rsid w:val="00617DFE"/>
    <w:rsid w:val="0062064C"/>
    <w:rsid w:val="00622BE8"/>
    <w:rsid w:val="00623B17"/>
    <w:rsid w:val="00624ADD"/>
    <w:rsid w:val="006253DE"/>
    <w:rsid w:val="00625D31"/>
    <w:rsid w:val="00626873"/>
    <w:rsid w:val="00630B87"/>
    <w:rsid w:val="00630CF5"/>
    <w:rsid w:val="006313C9"/>
    <w:rsid w:val="00631599"/>
    <w:rsid w:val="00632546"/>
    <w:rsid w:val="0063317B"/>
    <w:rsid w:val="00633ED9"/>
    <w:rsid w:val="00635DF3"/>
    <w:rsid w:val="00636103"/>
    <w:rsid w:val="00643940"/>
    <w:rsid w:val="00643F5A"/>
    <w:rsid w:val="0065044F"/>
    <w:rsid w:val="00650B29"/>
    <w:rsid w:val="0065135A"/>
    <w:rsid w:val="00651D3D"/>
    <w:rsid w:val="006521A8"/>
    <w:rsid w:val="00652B15"/>
    <w:rsid w:val="00652E31"/>
    <w:rsid w:val="0065407E"/>
    <w:rsid w:val="006544C5"/>
    <w:rsid w:val="00654B68"/>
    <w:rsid w:val="00654C76"/>
    <w:rsid w:val="00655E1E"/>
    <w:rsid w:val="00655E41"/>
    <w:rsid w:val="0066118A"/>
    <w:rsid w:val="00663048"/>
    <w:rsid w:val="00664054"/>
    <w:rsid w:val="00664829"/>
    <w:rsid w:val="00664AEF"/>
    <w:rsid w:val="006651BC"/>
    <w:rsid w:val="006651E7"/>
    <w:rsid w:val="0066612E"/>
    <w:rsid w:val="00666531"/>
    <w:rsid w:val="00670932"/>
    <w:rsid w:val="00671047"/>
    <w:rsid w:val="00671127"/>
    <w:rsid w:val="00673A1A"/>
    <w:rsid w:val="00675AF0"/>
    <w:rsid w:val="0067601E"/>
    <w:rsid w:val="00676436"/>
    <w:rsid w:val="00680B49"/>
    <w:rsid w:val="00680FF5"/>
    <w:rsid w:val="00682865"/>
    <w:rsid w:val="00684103"/>
    <w:rsid w:val="00684921"/>
    <w:rsid w:val="00684C4A"/>
    <w:rsid w:val="00684F41"/>
    <w:rsid w:val="0068600C"/>
    <w:rsid w:val="00686BCE"/>
    <w:rsid w:val="00687E3A"/>
    <w:rsid w:val="00690C32"/>
    <w:rsid w:val="00696A24"/>
    <w:rsid w:val="006975BF"/>
    <w:rsid w:val="006A0500"/>
    <w:rsid w:val="006A4199"/>
    <w:rsid w:val="006A4F23"/>
    <w:rsid w:val="006A6706"/>
    <w:rsid w:val="006A6AFB"/>
    <w:rsid w:val="006B01DE"/>
    <w:rsid w:val="006B030A"/>
    <w:rsid w:val="006B0AA4"/>
    <w:rsid w:val="006B1A19"/>
    <w:rsid w:val="006B1F14"/>
    <w:rsid w:val="006B3DED"/>
    <w:rsid w:val="006B4FE7"/>
    <w:rsid w:val="006B674F"/>
    <w:rsid w:val="006B6F45"/>
    <w:rsid w:val="006B733E"/>
    <w:rsid w:val="006B7A71"/>
    <w:rsid w:val="006C06E4"/>
    <w:rsid w:val="006C3418"/>
    <w:rsid w:val="006C6205"/>
    <w:rsid w:val="006C6A48"/>
    <w:rsid w:val="006D41BA"/>
    <w:rsid w:val="006D61B3"/>
    <w:rsid w:val="006D6EF2"/>
    <w:rsid w:val="006D78E8"/>
    <w:rsid w:val="006E0645"/>
    <w:rsid w:val="006E1814"/>
    <w:rsid w:val="006E33F8"/>
    <w:rsid w:val="006E36B5"/>
    <w:rsid w:val="006E39D2"/>
    <w:rsid w:val="006E4A32"/>
    <w:rsid w:val="006E4CC2"/>
    <w:rsid w:val="006E5E5C"/>
    <w:rsid w:val="006E7F29"/>
    <w:rsid w:val="006F1605"/>
    <w:rsid w:val="006F1B66"/>
    <w:rsid w:val="006F20C1"/>
    <w:rsid w:val="006F2C22"/>
    <w:rsid w:val="006F2F72"/>
    <w:rsid w:val="006F4A6A"/>
    <w:rsid w:val="006F743D"/>
    <w:rsid w:val="00700824"/>
    <w:rsid w:val="007014D0"/>
    <w:rsid w:val="00702E33"/>
    <w:rsid w:val="007042B0"/>
    <w:rsid w:val="007044D3"/>
    <w:rsid w:val="00706BDE"/>
    <w:rsid w:val="00713F43"/>
    <w:rsid w:val="0071403C"/>
    <w:rsid w:val="00716472"/>
    <w:rsid w:val="00716C01"/>
    <w:rsid w:val="0071747E"/>
    <w:rsid w:val="00720431"/>
    <w:rsid w:val="0072119F"/>
    <w:rsid w:val="00721EFC"/>
    <w:rsid w:val="00722861"/>
    <w:rsid w:val="00723BB2"/>
    <w:rsid w:val="00723D45"/>
    <w:rsid w:val="0072422D"/>
    <w:rsid w:val="007249EB"/>
    <w:rsid w:val="00724B8B"/>
    <w:rsid w:val="00726D64"/>
    <w:rsid w:val="007273AC"/>
    <w:rsid w:val="007306F5"/>
    <w:rsid w:val="007311C6"/>
    <w:rsid w:val="00731A1D"/>
    <w:rsid w:val="00732F06"/>
    <w:rsid w:val="00733BFA"/>
    <w:rsid w:val="0073428F"/>
    <w:rsid w:val="00734B8F"/>
    <w:rsid w:val="00737967"/>
    <w:rsid w:val="007404E5"/>
    <w:rsid w:val="00743743"/>
    <w:rsid w:val="007442EB"/>
    <w:rsid w:val="0074537C"/>
    <w:rsid w:val="00746F19"/>
    <w:rsid w:val="007507CB"/>
    <w:rsid w:val="00751174"/>
    <w:rsid w:val="0075144A"/>
    <w:rsid w:val="007515C9"/>
    <w:rsid w:val="00753532"/>
    <w:rsid w:val="007538FC"/>
    <w:rsid w:val="00754150"/>
    <w:rsid w:val="00755A0D"/>
    <w:rsid w:val="00755FE2"/>
    <w:rsid w:val="00756C51"/>
    <w:rsid w:val="00763740"/>
    <w:rsid w:val="0076396D"/>
    <w:rsid w:val="0076561B"/>
    <w:rsid w:val="0076645B"/>
    <w:rsid w:val="007679CD"/>
    <w:rsid w:val="0077082E"/>
    <w:rsid w:val="00772A29"/>
    <w:rsid w:val="00773699"/>
    <w:rsid w:val="00773ACA"/>
    <w:rsid w:val="007741B4"/>
    <w:rsid w:val="00774A25"/>
    <w:rsid w:val="00783240"/>
    <w:rsid w:val="00785436"/>
    <w:rsid w:val="00787E9C"/>
    <w:rsid w:val="007921F4"/>
    <w:rsid w:val="00792246"/>
    <w:rsid w:val="00795E1E"/>
    <w:rsid w:val="00795F65"/>
    <w:rsid w:val="00796B05"/>
    <w:rsid w:val="0079750E"/>
    <w:rsid w:val="007A1BB0"/>
    <w:rsid w:val="007A224E"/>
    <w:rsid w:val="007A2FB0"/>
    <w:rsid w:val="007A4312"/>
    <w:rsid w:val="007A4458"/>
    <w:rsid w:val="007A5BD6"/>
    <w:rsid w:val="007A6123"/>
    <w:rsid w:val="007A6B40"/>
    <w:rsid w:val="007B063C"/>
    <w:rsid w:val="007B247C"/>
    <w:rsid w:val="007B27C8"/>
    <w:rsid w:val="007B49F6"/>
    <w:rsid w:val="007B60A0"/>
    <w:rsid w:val="007B75E1"/>
    <w:rsid w:val="007B7F15"/>
    <w:rsid w:val="007C24A0"/>
    <w:rsid w:val="007C4A4B"/>
    <w:rsid w:val="007C4CCD"/>
    <w:rsid w:val="007C5034"/>
    <w:rsid w:val="007C75A4"/>
    <w:rsid w:val="007C7978"/>
    <w:rsid w:val="007D057D"/>
    <w:rsid w:val="007D07BD"/>
    <w:rsid w:val="007D3D80"/>
    <w:rsid w:val="007D3FCA"/>
    <w:rsid w:val="007D4D50"/>
    <w:rsid w:val="007D59B7"/>
    <w:rsid w:val="007D640C"/>
    <w:rsid w:val="007E1001"/>
    <w:rsid w:val="007E137C"/>
    <w:rsid w:val="007E48A0"/>
    <w:rsid w:val="007E6021"/>
    <w:rsid w:val="007E6DAA"/>
    <w:rsid w:val="007F1B90"/>
    <w:rsid w:val="007F4744"/>
    <w:rsid w:val="007F565A"/>
    <w:rsid w:val="007F7B8F"/>
    <w:rsid w:val="00800F65"/>
    <w:rsid w:val="008019B2"/>
    <w:rsid w:val="00801FCC"/>
    <w:rsid w:val="00803ED1"/>
    <w:rsid w:val="00804DC5"/>
    <w:rsid w:val="008078E2"/>
    <w:rsid w:val="00810667"/>
    <w:rsid w:val="008108C9"/>
    <w:rsid w:val="00812380"/>
    <w:rsid w:val="0081245E"/>
    <w:rsid w:val="008141E5"/>
    <w:rsid w:val="008155B3"/>
    <w:rsid w:val="00823091"/>
    <w:rsid w:val="00823418"/>
    <w:rsid w:val="00824131"/>
    <w:rsid w:val="00825CE0"/>
    <w:rsid w:val="0082786A"/>
    <w:rsid w:val="00830B2D"/>
    <w:rsid w:val="008317C9"/>
    <w:rsid w:val="00832A05"/>
    <w:rsid w:val="00832A21"/>
    <w:rsid w:val="00833262"/>
    <w:rsid w:val="00835105"/>
    <w:rsid w:val="00836210"/>
    <w:rsid w:val="008363D6"/>
    <w:rsid w:val="00836BE4"/>
    <w:rsid w:val="00837A39"/>
    <w:rsid w:val="008400DA"/>
    <w:rsid w:val="00840651"/>
    <w:rsid w:val="00843002"/>
    <w:rsid w:val="0084519D"/>
    <w:rsid w:val="0084531C"/>
    <w:rsid w:val="00845340"/>
    <w:rsid w:val="00846105"/>
    <w:rsid w:val="00846508"/>
    <w:rsid w:val="0084752A"/>
    <w:rsid w:val="008476BD"/>
    <w:rsid w:val="0084789C"/>
    <w:rsid w:val="008501D8"/>
    <w:rsid w:val="00852E0F"/>
    <w:rsid w:val="008549EB"/>
    <w:rsid w:val="00855403"/>
    <w:rsid w:val="0086118A"/>
    <w:rsid w:val="008629EA"/>
    <w:rsid w:val="00862F91"/>
    <w:rsid w:val="008631B7"/>
    <w:rsid w:val="008639ED"/>
    <w:rsid w:val="008648B1"/>
    <w:rsid w:val="00864EBF"/>
    <w:rsid w:val="00865050"/>
    <w:rsid w:val="00865CCB"/>
    <w:rsid w:val="00867B44"/>
    <w:rsid w:val="00872326"/>
    <w:rsid w:val="00872914"/>
    <w:rsid w:val="00872C24"/>
    <w:rsid w:val="008738E0"/>
    <w:rsid w:val="00875807"/>
    <w:rsid w:val="008778BC"/>
    <w:rsid w:val="008811E4"/>
    <w:rsid w:val="008823D9"/>
    <w:rsid w:val="008825BA"/>
    <w:rsid w:val="00884E23"/>
    <w:rsid w:val="008858D0"/>
    <w:rsid w:val="00886B0D"/>
    <w:rsid w:val="00886C66"/>
    <w:rsid w:val="00887401"/>
    <w:rsid w:val="008877B0"/>
    <w:rsid w:val="0089155A"/>
    <w:rsid w:val="00894302"/>
    <w:rsid w:val="00895513"/>
    <w:rsid w:val="008A249B"/>
    <w:rsid w:val="008A3E30"/>
    <w:rsid w:val="008A5BC1"/>
    <w:rsid w:val="008A5DF5"/>
    <w:rsid w:val="008A5FB1"/>
    <w:rsid w:val="008A61FE"/>
    <w:rsid w:val="008B2328"/>
    <w:rsid w:val="008B3362"/>
    <w:rsid w:val="008B344F"/>
    <w:rsid w:val="008B3D18"/>
    <w:rsid w:val="008C0C36"/>
    <w:rsid w:val="008C367E"/>
    <w:rsid w:val="008C3DB7"/>
    <w:rsid w:val="008C3F70"/>
    <w:rsid w:val="008C5F55"/>
    <w:rsid w:val="008C702C"/>
    <w:rsid w:val="008D238A"/>
    <w:rsid w:val="008D2ED1"/>
    <w:rsid w:val="008D3A5A"/>
    <w:rsid w:val="008D3B97"/>
    <w:rsid w:val="008D45FF"/>
    <w:rsid w:val="008D489F"/>
    <w:rsid w:val="008D6A77"/>
    <w:rsid w:val="008D6E9D"/>
    <w:rsid w:val="008D768D"/>
    <w:rsid w:val="008D79F9"/>
    <w:rsid w:val="008E1C19"/>
    <w:rsid w:val="008E3200"/>
    <w:rsid w:val="008E36D1"/>
    <w:rsid w:val="008E3942"/>
    <w:rsid w:val="008E3C40"/>
    <w:rsid w:val="008E3D57"/>
    <w:rsid w:val="008E4CD8"/>
    <w:rsid w:val="008E4D81"/>
    <w:rsid w:val="008E4FD9"/>
    <w:rsid w:val="008E5076"/>
    <w:rsid w:val="008E53D5"/>
    <w:rsid w:val="008F0B63"/>
    <w:rsid w:val="008F1063"/>
    <w:rsid w:val="008F14AE"/>
    <w:rsid w:val="008F14FD"/>
    <w:rsid w:val="008F31C2"/>
    <w:rsid w:val="008F49F9"/>
    <w:rsid w:val="008F574E"/>
    <w:rsid w:val="008F682B"/>
    <w:rsid w:val="008F6E59"/>
    <w:rsid w:val="00901874"/>
    <w:rsid w:val="00901A8E"/>
    <w:rsid w:val="00902653"/>
    <w:rsid w:val="00903368"/>
    <w:rsid w:val="00903926"/>
    <w:rsid w:val="0090483E"/>
    <w:rsid w:val="00904CF1"/>
    <w:rsid w:val="00905A79"/>
    <w:rsid w:val="00912DC7"/>
    <w:rsid w:val="00912EA8"/>
    <w:rsid w:val="00914C1D"/>
    <w:rsid w:val="009151AA"/>
    <w:rsid w:val="00920F49"/>
    <w:rsid w:val="009226E2"/>
    <w:rsid w:val="00923F3B"/>
    <w:rsid w:val="00926A80"/>
    <w:rsid w:val="00926A95"/>
    <w:rsid w:val="0093225D"/>
    <w:rsid w:val="009327DE"/>
    <w:rsid w:val="009329D8"/>
    <w:rsid w:val="00932CED"/>
    <w:rsid w:val="00933224"/>
    <w:rsid w:val="00933A90"/>
    <w:rsid w:val="009345B3"/>
    <w:rsid w:val="00934B97"/>
    <w:rsid w:val="00940FDD"/>
    <w:rsid w:val="009411E5"/>
    <w:rsid w:val="0094337B"/>
    <w:rsid w:val="00943A54"/>
    <w:rsid w:val="00943D9A"/>
    <w:rsid w:val="00944436"/>
    <w:rsid w:val="0094622D"/>
    <w:rsid w:val="00946657"/>
    <w:rsid w:val="00950560"/>
    <w:rsid w:val="00950CA1"/>
    <w:rsid w:val="00951910"/>
    <w:rsid w:val="009519DD"/>
    <w:rsid w:val="00951E08"/>
    <w:rsid w:val="009547FA"/>
    <w:rsid w:val="00954AC8"/>
    <w:rsid w:val="00955ED8"/>
    <w:rsid w:val="00956517"/>
    <w:rsid w:val="00957F96"/>
    <w:rsid w:val="009603BC"/>
    <w:rsid w:val="00960678"/>
    <w:rsid w:val="00961E17"/>
    <w:rsid w:val="00962E17"/>
    <w:rsid w:val="009630DA"/>
    <w:rsid w:val="009643CA"/>
    <w:rsid w:val="0096729A"/>
    <w:rsid w:val="00970110"/>
    <w:rsid w:val="00971B3C"/>
    <w:rsid w:val="009728F3"/>
    <w:rsid w:val="009729EF"/>
    <w:rsid w:val="00982CFB"/>
    <w:rsid w:val="00984254"/>
    <w:rsid w:val="00984D0A"/>
    <w:rsid w:val="009860CA"/>
    <w:rsid w:val="0098644B"/>
    <w:rsid w:val="00986E3E"/>
    <w:rsid w:val="00990AA9"/>
    <w:rsid w:val="009922C0"/>
    <w:rsid w:val="009931AE"/>
    <w:rsid w:val="00995232"/>
    <w:rsid w:val="009963A7"/>
    <w:rsid w:val="009963EC"/>
    <w:rsid w:val="00996AD8"/>
    <w:rsid w:val="009A015D"/>
    <w:rsid w:val="009A20BF"/>
    <w:rsid w:val="009A31E5"/>
    <w:rsid w:val="009A3BAB"/>
    <w:rsid w:val="009A54F9"/>
    <w:rsid w:val="009A7BBC"/>
    <w:rsid w:val="009B151C"/>
    <w:rsid w:val="009B38BE"/>
    <w:rsid w:val="009B4350"/>
    <w:rsid w:val="009B45AB"/>
    <w:rsid w:val="009B5A48"/>
    <w:rsid w:val="009B69BD"/>
    <w:rsid w:val="009B7FF7"/>
    <w:rsid w:val="009C1BA4"/>
    <w:rsid w:val="009C38F2"/>
    <w:rsid w:val="009C4487"/>
    <w:rsid w:val="009C490E"/>
    <w:rsid w:val="009C54BB"/>
    <w:rsid w:val="009C5762"/>
    <w:rsid w:val="009D0105"/>
    <w:rsid w:val="009D0D03"/>
    <w:rsid w:val="009D16FF"/>
    <w:rsid w:val="009D4790"/>
    <w:rsid w:val="009D5829"/>
    <w:rsid w:val="009D6DE6"/>
    <w:rsid w:val="009E0802"/>
    <w:rsid w:val="009E080A"/>
    <w:rsid w:val="009E1ADE"/>
    <w:rsid w:val="009E1D6A"/>
    <w:rsid w:val="009E2C42"/>
    <w:rsid w:val="009E3090"/>
    <w:rsid w:val="009E6123"/>
    <w:rsid w:val="009E733D"/>
    <w:rsid w:val="009F2586"/>
    <w:rsid w:val="009F2B7D"/>
    <w:rsid w:val="009F3218"/>
    <w:rsid w:val="009F3B2D"/>
    <w:rsid w:val="009F4BC2"/>
    <w:rsid w:val="009F5B24"/>
    <w:rsid w:val="009F6839"/>
    <w:rsid w:val="009F68E1"/>
    <w:rsid w:val="00A01D3A"/>
    <w:rsid w:val="00A0269D"/>
    <w:rsid w:val="00A032A2"/>
    <w:rsid w:val="00A03B66"/>
    <w:rsid w:val="00A05FD2"/>
    <w:rsid w:val="00A06D6A"/>
    <w:rsid w:val="00A072F8"/>
    <w:rsid w:val="00A10A7E"/>
    <w:rsid w:val="00A125C7"/>
    <w:rsid w:val="00A13E52"/>
    <w:rsid w:val="00A160D2"/>
    <w:rsid w:val="00A1704E"/>
    <w:rsid w:val="00A208DA"/>
    <w:rsid w:val="00A213AF"/>
    <w:rsid w:val="00A213FF"/>
    <w:rsid w:val="00A236E4"/>
    <w:rsid w:val="00A23AE5"/>
    <w:rsid w:val="00A24FB7"/>
    <w:rsid w:val="00A25A1F"/>
    <w:rsid w:val="00A304BA"/>
    <w:rsid w:val="00A31553"/>
    <w:rsid w:val="00A32FAA"/>
    <w:rsid w:val="00A337B2"/>
    <w:rsid w:val="00A33DD1"/>
    <w:rsid w:val="00A34072"/>
    <w:rsid w:val="00A3583D"/>
    <w:rsid w:val="00A37C2E"/>
    <w:rsid w:val="00A41371"/>
    <w:rsid w:val="00A423FA"/>
    <w:rsid w:val="00A43223"/>
    <w:rsid w:val="00A437B9"/>
    <w:rsid w:val="00A44D45"/>
    <w:rsid w:val="00A45A13"/>
    <w:rsid w:val="00A45D66"/>
    <w:rsid w:val="00A46247"/>
    <w:rsid w:val="00A5041C"/>
    <w:rsid w:val="00A51731"/>
    <w:rsid w:val="00A51786"/>
    <w:rsid w:val="00A51A0C"/>
    <w:rsid w:val="00A520D7"/>
    <w:rsid w:val="00A531D3"/>
    <w:rsid w:val="00A5612A"/>
    <w:rsid w:val="00A569F2"/>
    <w:rsid w:val="00A56AF5"/>
    <w:rsid w:val="00A60F8C"/>
    <w:rsid w:val="00A6462B"/>
    <w:rsid w:val="00A65080"/>
    <w:rsid w:val="00A65371"/>
    <w:rsid w:val="00A675F5"/>
    <w:rsid w:val="00A71C14"/>
    <w:rsid w:val="00A72476"/>
    <w:rsid w:val="00A73A9B"/>
    <w:rsid w:val="00A7421C"/>
    <w:rsid w:val="00A7559D"/>
    <w:rsid w:val="00A8060E"/>
    <w:rsid w:val="00A856C9"/>
    <w:rsid w:val="00A85C43"/>
    <w:rsid w:val="00A86AB5"/>
    <w:rsid w:val="00A902B2"/>
    <w:rsid w:val="00A9170D"/>
    <w:rsid w:val="00A92329"/>
    <w:rsid w:val="00A95127"/>
    <w:rsid w:val="00A97AD8"/>
    <w:rsid w:val="00AA0ED9"/>
    <w:rsid w:val="00AA3170"/>
    <w:rsid w:val="00AA4684"/>
    <w:rsid w:val="00AA714B"/>
    <w:rsid w:val="00AA770C"/>
    <w:rsid w:val="00AA7F6A"/>
    <w:rsid w:val="00AB09B3"/>
    <w:rsid w:val="00AB0D33"/>
    <w:rsid w:val="00AB20E9"/>
    <w:rsid w:val="00AB2F2B"/>
    <w:rsid w:val="00AB3283"/>
    <w:rsid w:val="00AB3392"/>
    <w:rsid w:val="00AB39F1"/>
    <w:rsid w:val="00AB3ED4"/>
    <w:rsid w:val="00AB434B"/>
    <w:rsid w:val="00AB527A"/>
    <w:rsid w:val="00AB561F"/>
    <w:rsid w:val="00AB5F3C"/>
    <w:rsid w:val="00AB6A3D"/>
    <w:rsid w:val="00AB73D5"/>
    <w:rsid w:val="00AC0107"/>
    <w:rsid w:val="00AC11DA"/>
    <w:rsid w:val="00AC169F"/>
    <w:rsid w:val="00AC33C8"/>
    <w:rsid w:val="00AC3ECD"/>
    <w:rsid w:val="00AC42E6"/>
    <w:rsid w:val="00AC64A7"/>
    <w:rsid w:val="00AC6873"/>
    <w:rsid w:val="00AC6959"/>
    <w:rsid w:val="00AC7305"/>
    <w:rsid w:val="00AD0F75"/>
    <w:rsid w:val="00AD1F72"/>
    <w:rsid w:val="00AD254C"/>
    <w:rsid w:val="00AD3787"/>
    <w:rsid w:val="00AD3C20"/>
    <w:rsid w:val="00AD5A5C"/>
    <w:rsid w:val="00AD7E58"/>
    <w:rsid w:val="00AE0D6C"/>
    <w:rsid w:val="00AE19CE"/>
    <w:rsid w:val="00AE230E"/>
    <w:rsid w:val="00AE313B"/>
    <w:rsid w:val="00AE6E7D"/>
    <w:rsid w:val="00AE7295"/>
    <w:rsid w:val="00AE72D4"/>
    <w:rsid w:val="00AF2DE8"/>
    <w:rsid w:val="00AF3759"/>
    <w:rsid w:val="00AF60E5"/>
    <w:rsid w:val="00AF6F64"/>
    <w:rsid w:val="00AF7C08"/>
    <w:rsid w:val="00AF7E56"/>
    <w:rsid w:val="00B007CD"/>
    <w:rsid w:val="00B01183"/>
    <w:rsid w:val="00B01327"/>
    <w:rsid w:val="00B01AD9"/>
    <w:rsid w:val="00B0237C"/>
    <w:rsid w:val="00B029B8"/>
    <w:rsid w:val="00B0362C"/>
    <w:rsid w:val="00B0565D"/>
    <w:rsid w:val="00B06E23"/>
    <w:rsid w:val="00B07A60"/>
    <w:rsid w:val="00B07C76"/>
    <w:rsid w:val="00B11BD0"/>
    <w:rsid w:val="00B12924"/>
    <w:rsid w:val="00B134D4"/>
    <w:rsid w:val="00B14646"/>
    <w:rsid w:val="00B2278D"/>
    <w:rsid w:val="00B22B14"/>
    <w:rsid w:val="00B2330C"/>
    <w:rsid w:val="00B238CA"/>
    <w:rsid w:val="00B25254"/>
    <w:rsid w:val="00B272F0"/>
    <w:rsid w:val="00B27486"/>
    <w:rsid w:val="00B302E6"/>
    <w:rsid w:val="00B30B2F"/>
    <w:rsid w:val="00B317C7"/>
    <w:rsid w:val="00B32ECE"/>
    <w:rsid w:val="00B33B71"/>
    <w:rsid w:val="00B34A33"/>
    <w:rsid w:val="00B3650A"/>
    <w:rsid w:val="00B372B4"/>
    <w:rsid w:val="00B37687"/>
    <w:rsid w:val="00B4071F"/>
    <w:rsid w:val="00B43155"/>
    <w:rsid w:val="00B4329F"/>
    <w:rsid w:val="00B4389C"/>
    <w:rsid w:val="00B4462D"/>
    <w:rsid w:val="00B47095"/>
    <w:rsid w:val="00B5391F"/>
    <w:rsid w:val="00B5416A"/>
    <w:rsid w:val="00B553FB"/>
    <w:rsid w:val="00B5564B"/>
    <w:rsid w:val="00B5603C"/>
    <w:rsid w:val="00B567C9"/>
    <w:rsid w:val="00B5797C"/>
    <w:rsid w:val="00B60EE9"/>
    <w:rsid w:val="00B62048"/>
    <w:rsid w:val="00B62D6F"/>
    <w:rsid w:val="00B634AF"/>
    <w:rsid w:val="00B650E4"/>
    <w:rsid w:val="00B65D16"/>
    <w:rsid w:val="00B65EB3"/>
    <w:rsid w:val="00B66E3E"/>
    <w:rsid w:val="00B70717"/>
    <w:rsid w:val="00B7090E"/>
    <w:rsid w:val="00B71607"/>
    <w:rsid w:val="00B7215F"/>
    <w:rsid w:val="00B758C5"/>
    <w:rsid w:val="00B76DD5"/>
    <w:rsid w:val="00B771AA"/>
    <w:rsid w:val="00B77617"/>
    <w:rsid w:val="00B77B26"/>
    <w:rsid w:val="00B8040F"/>
    <w:rsid w:val="00B81DE7"/>
    <w:rsid w:val="00B8233F"/>
    <w:rsid w:val="00B8313E"/>
    <w:rsid w:val="00B83649"/>
    <w:rsid w:val="00B848B5"/>
    <w:rsid w:val="00B85474"/>
    <w:rsid w:val="00B85C17"/>
    <w:rsid w:val="00B86E2E"/>
    <w:rsid w:val="00B871CA"/>
    <w:rsid w:val="00B909BE"/>
    <w:rsid w:val="00B91B60"/>
    <w:rsid w:val="00B91C88"/>
    <w:rsid w:val="00B921A5"/>
    <w:rsid w:val="00B9461F"/>
    <w:rsid w:val="00B94706"/>
    <w:rsid w:val="00B948B8"/>
    <w:rsid w:val="00B95964"/>
    <w:rsid w:val="00B961BB"/>
    <w:rsid w:val="00B968AF"/>
    <w:rsid w:val="00B96F04"/>
    <w:rsid w:val="00BA5193"/>
    <w:rsid w:val="00BA573C"/>
    <w:rsid w:val="00BA64F0"/>
    <w:rsid w:val="00BA68C6"/>
    <w:rsid w:val="00BA6A61"/>
    <w:rsid w:val="00BA6A80"/>
    <w:rsid w:val="00BA6F25"/>
    <w:rsid w:val="00BA7549"/>
    <w:rsid w:val="00BB0581"/>
    <w:rsid w:val="00BB0D53"/>
    <w:rsid w:val="00BB1154"/>
    <w:rsid w:val="00BB1581"/>
    <w:rsid w:val="00BB234D"/>
    <w:rsid w:val="00BB4259"/>
    <w:rsid w:val="00BB45FD"/>
    <w:rsid w:val="00BB5C48"/>
    <w:rsid w:val="00BB670E"/>
    <w:rsid w:val="00BC1B8B"/>
    <w:rsid w:val="00BC2D18"/>
    <w:rsid w:val="00BC42B1"/>
    <w:rsid w:val="00BC532E"/>
    <w:rsid w:val="00BC5479"/>
    <w:rsid w:val="00BC5FF7"/>
    <w:rsid w:val="00BD0A9E"/>
    <w:rsid w:val="00BD0FC9"/>
    <w:rsid w:val="00BD37CE"/>
    <w:rsid w:val="00BD5607"/>
    <w:rsid w:val="00BD61C5"/>
    <w:rsid w:val="00BD6D91"/>
    <w:rsid w:val="00BE0286"/>
    <w:rsid w:val="00BE09E9"/>
    <w:rsid w:val="00BE2224"/>
    <w:rsid w:val="00BE2BAB"/>
    <w:rsid w:val="00BE3DDD"/>
    <w:rsid w:val="00BE538D"/>
    <w:rsid w:val="00BE5F6B"/>
    <w:rsid w:val="00BF07CD"/>
    <w:rsid w:val="00BF5DE2"/>
    <w:rsid w:val="00BF71BA"/>
    <w:rsid w:val="00C018E1"/>
    <w:rsid w:val="00C01AE9"/>
    <w:rsid w:val="00C01E6A"/>
    <w:rsid w:val="00C0272E"/>
    <w:rsid w:val="00C02C28"/>
    <w:rsid w:val="00C0312D"/>
    <w:rsid w:val="00C038E8"/>
    <w:rsid w:val="00C03936"/>
    <w:rsid w:val="00C03A1C"/>
    <w:rsid w:val="00C07093"/>
    <w:rsid w:val="00C10572"/>
    <w:rsid w:val="00C109D9"/>
    <w:rsid w:val="00C122D4"/>
    <w:rsid w:val="00C12E30"/>
    <w:rsid w:val="00C14B47"/>
    <w:rsid w:val="00C158C0"/>
    <w:rsid w:val="00C15AA8"/>
    <w:rsid w:val="00C22411"/>
    <w:rsid w:val="00C22A65"/>
    <w:rsid w:val="00C2353B"/>
    <w:rsid w:val="00C24868"/>
    <w:rsid w:val="00C25721"/>
    <w:rsid w:val="00C2650A"/>
    <w:rsid w:val="00C266A8"/>
    <w:rsid w:val="00C266AA"/>
    <w:rsid w:val="00C31F28"/>
    <w:rsid w:val="00C35BE0"/>
    <w:rsid w:val="00C3715B"/>
    <w:rsid w:val="00C42807"/>
    <w:rsid w:val="00C42D1C"/>
    <w:rsid w:val="00C433FF"/>
    <w:rsid w:val="00C4384E"/>
    <w:rsid w:val="00C46DB6"/>
    <w:rsid w:val="00C477D7"/>
    <w:rsid w:val="00C47C17"/>
    <w:rsid w:val="00C521E5"/>
    <w:rsid w:val="00C52CAB"/>
    <w:rsid w:val="00C53792"/>
    <w:rsid w:val="00C53E74"/>
    <w:rsid w:val="00C553CD"/>
    <w:rsid w:val="00C55ADD"/>
    <w:rsid w:val="00C5680E"/>
    <w:rsid w:val="00C56A45"/>
    <w:rsid w:val="00C56F42"/>
    <w:rsid w:val="00C6255B"/>
    <w:rsid w:val="00C6345F"/>
    <w:rsid w:val="00C64483"/>
    <w:rsid w:val="00C64A9E"/>
    <w:rsid w:val="00C64DD2"/>
    <w:rsid w:val="00C66522"/>
    <w:rsid w:val="00C6736F"/>
    <w:rsid w:val="00C7078B"/>
    <w:rsid w:val="00C71162"/>
    <w:rsid w:val="00C71BD1"/>
    <w:rsid w:val="00C71C2D"/>
    <w:rsid w:val="00C72FFF"/>
    <w:rsid w:val="00C7301F"/>
    <w:rsid w:val="00C7395D"/>
    <w:rsid w:val="00C74116"/>
    <w:rsid w:val="00C74144"/>
    <w:rsid w:val="00C743E2"/>
    <w:rsid w:val="00C76A12"/>
    <w:rsid w:val="00C77C7D"/>
    <w:rsid w:val="00C80000"/>
    <w:rsid w:val="00C80F7D"/>
    <w:rsid w:val="00C83BA4"/>
    <w:rsid w:val="00C83BA9"/>
    <w:rsid w:val="00C90269"/>
    <w:rsid w:val="00C90742"/>
    <w:rsid w:val="00C91B63"/>
    <w:rsid w:val="00C91FC8"/>
    <w:rsid w:val="00C93DED"/>
    <w:rsid w:val="00C95FE4"/>
    <w:rsid w:val="00C96335"/>
    <w:rsid w:val="00C97CE0"/>
    <w:rsid w:val="00CA0577"/>
    <w:rsid w:val="00CA082A"/>
    <w:rsid w:val="00CA581B"/>
    <w:rsid w:val="00CA6421"/>
    <w:rsid w:val="00CB0093"/>
    <w:rsid w:val="00CB00EB"/>
    <w:rsid w:val="00CB19C3"/>
    <w:rsid w:val="00CB2443"/>
    <w:rsid w:val="00CB34D7"/>
    <w:rsid w:val="00CB50FE"/>
    <w:rsid w:val="00CB72D9"/>
    <w:rsid w:val="00CB7D95"/>
    <w:rsid w:val="00CC3CA2"/>
    <w:rsid w:val="00CC698A"/>
    <w:rsid w:val="00CD0A46"/>
    <w:rsid w:val="00CD14D6"/>
    <w:rsid w:val="00CD1777"/>
    <w:rsid w:val="00CD1E86"/>
    <w:rsid w:val="00CD2120"/>
    <w:rsid w:val="00CD2EA8"/>
    <w:rsid w:val="00CE10C0"/>
    <w:rsid w:val="00CE1A65"/>
    <w:rsid w:val="00CE286D"/>
    <w:rsid w:val="00CE2901"/>
    <w:rsid w:val="00CE3125"/>
    <w:rsid w:val="00CE3982"/>
    <w:rsid w:val="00CE44FC"/>
    <w:rsid w:val="00CE4886"/>
    <w:rsid w:val="00CE4946"/>
    <w:rsid w:val="00CE4F70"/>
    <w:rsid w:val="00CE53FD"/>
    <w:rsid w:val="00CE641A"/>
    <w:rsid w:val="00CF1371"/>
    <w:rsid w:val="00CF2993"/>
    <w:rsid w:val="00CF38BF"/>
    <w:rsid w:val="00CF3AD1"/>
    <w:rsid w:val="00CF3B83"/>
    <w:rsid w:val="00CF3DE2"/>
    <w:rsid w:val="00CF4842"/>
    <w:rsid w:val="00CF530A"/>
    <w:rsid w:val="00CF58AF"/>
    <w:rsid w:val="00CF6112"/>
    <w:rsid w:val="00CF6FD8"/>
    <w:rsid w:val="00CF705C"/>
    <w:rsid w:val="00CF72C5"/>
    <w:rsid w:val="00D002C7"/>
    <w:rsid w:val="00D0065B"/>
    <w:rsid w:val="00D011A6"/>
    <w:rsid w:val="00D020F3"/>
    <w:rsid w:val="00D03461"/>
    <w:rsid w:val="00D04589"/>
    <w:rsid w:val="00D05A90"/>
    <w:rsid w:val="00D05B33"/>
    <w:rsid w:val="00D06723"/>
    <w:rsid w:val="00D100D1"/>
    <w:rsid w:val="00D13A71"/>
    <w:rsid w:val="00D147CF"/>
    <w:rsid w:val="00D14F7D"/>
    <w:rsid w:val="00D15986"/>
    <w:rsid w:val="00D16B56"/>
    <w:rsid w:val="00D2029F"/>
    <w:rsid w:val="00D20996"/>
    <w:rsid w:val="00D20A8E"/>
    <w:rsid w:val="00D21DBB"/>
    <w:rsid w:val="00D27F2D"/>
    <w:rsid w:val="00D30A87"/>
    <w:rsid w:val="00D30D71"/>
    <w:rsid w:val="00D32747"/>
    <w:rsid w:val="00D34374"/>
    <w:rsid w:val="00D361E2"/>
    <w:rsid w:val="00D36566"/>
    <w:rsid w:val="00D36859"/>
    <w:rsid w:val="00D36DE6"/>
    <w:rsid w:val="00D372F4"/>
    <w:rsid w:val="00D4213A"/>
    <w:rsid w:val="00D42799"/>
    <w:rsid w:val="00D42AAD"/>
    <w:rsid w:val="00D438A1"/>
    <w:rsid w:val="00D4404A"/>
    <w:rsid w:val="00D47E65"/>
    <w:rsid w:val="00D51A46"/>
    <w:rsid w:val="00D51D67"/>
    <w:rsid w:val="00D52F5C"/>
    <w:rsid w:val="00D606BE"/>
    <w:rsid w:val="00D60D9E"/>
    <w:rsid w:val="00D61D72"/>
    <w:rsid w:val="00D66482"/>
    <w:rsid w:val="00D66ECA"/>
    <w:rsid w:val="00D67BBE"/>
    <w:rsid w:val="00D67C75"/>
    <w:rsid w:val="00D71707"/>
    <w:rsid w:val="00D7294F"/>
    <w:rsid w:val="00D72BD4"/>
    <w:rsid w:val="00D745DB"/>
    <w:rsid w:val="00D74A36"/>
    <w:rsid w:val="00D80442"/>
    <w:rsid w:val="00D80583"/>
    <w:rsid w:val="00D80D13"/>
    <w:rsid w:val="00D822E7"/>
    <w:rsid w:val="00D84F75"/>
    <w:rsid w:val="00D85F39"/>
    <w:rsid w:val="00D86662"/>
    <w:rsid w:val="00D867EC"/>
    <w:rsid w:val="00D877C6"/>
    <w:rsid w:val="00D905A5"/>
    <w:rsid w:val="00D90C3C"/>
    <w:rsid w:val="00D92962"/>
    <w:rsid w:val="00D94027"/>
    <w:rsid w:val="00D9540F"/>
    <w:rsid w:val="00D954A0"/>
    <w:rsid w:val="00DA1D07"/>
    <w:rsid w:val="00DB1A8E"/>
    <w:rsid w:val="00DB2432"/>
    <w:rsid w:val="00DB4DB8"/>
    <w:rsid w:val="00DB57DF"/>
    <w:rsid w:val="00DB6B57"/>
    <w:rsid w:val="00DC1059"/>
    <w:rsid w:val="00DC3A4D"/>
    <w:rsid w:val="00DC43EC"/>
    <w:rsid w:val="00DC4A78"/>
    <w:rsid w:val="00DC68E9"/>
    <w:rsid w:val="00DC7380"/>
    <w:rsid w:val="00DD0207"/>
    <w:rsid w:val="00DD0398"/>
    <w:rsid w:val="00DD27D1"/>
    <w:rsid w:val="00DD2D0D"/>
    <w:rsid w:val="00DD3AC5"/>
    <w:rsid w:val="00DD48FB"/>
    <w:rsid w:val="00DD669A"/>
    <w:rsid w:val="00DD78B2"/>
    <w:rsid w:val="00DE0035"/>
    <w:rsid w:val="00DE0247"/>
    <w:rsid w:val="00DE1EC1"/>
    <w:rsid w:val="00DE1EE4"/>
    <w:rsid w:val="00DE205A"/>
    <w:rsid w:val="00DE24B4"/>
    <w:rsid w:val="00DE3C09"/>
    <w:rsid w:val="00DE45E8"/>
    <w:rsid w:val="00DE5A20"/>
    <w:rsid w:val="00DE7195"/>
    <w:rsid w:val="00DE7475"/>
    <w:rsid w:val="00DE7A44"/>
    <w:rsid w:val="00DE7C9F"/>
    <w:rsid w:val="00DF036E"/>
    <w:rsid w:val="00DF0DB6"/>
    <w:rsid w:val="00DF0E58"/>
    <w:rsid w:val="00DF26A6"/>
    <w:rsid w:val="00DF3B2A"/>
    <w:rsid w:val="00DF4BD7"/>
    <w:rsid w:val="00E01F0F"/>
    <w:rsid w:val="00E02011"/>
    <w:rsid w:val="00E02136"/>
    <w:rsid w:val="00E0677C"/>
    <w:rsid w:val="00E06BCE"/>
    <w:rsid w:val="00E07099"/>
    <w:rsid w:val="00E108EC"/>
    <w:rsid w:val="00E11A8F"/>
    <w:rsid w:val="00E11EEF"/>
    <w:rsid w:val="00E12362"/>
    <w:rsid w:val="00E14156"/>
    <w:rsid w:val="00E14428"/>
    <w:rsid w:val="00E16360"/>
    <w:rsid w:val="00E1657D"/>
    <w:rsid w:val="00E1663F"/>
    <w:rsid w:val="00E16A32"/>
    <w:rsid w:val="00E17704"/>
    <w:rsid w:val="00E17927"/>
    <w:rsid w:val="00E214F2"/>
    <w:rsid w:val="00E21EBF"/>
    <w:rsid w:val="00E239A2"/>
    <w:rsid w:val="00E2408B"/>
    <w:rsid w:val="00E2638B"/>
    <w:rsid w:val="00E32EF8"/>
    <w:rsid w:val="00E3493C"/>
    <w:rsid w:val="00E34F51"/>
    <w:rsid w:val="00E36B69"/>
    <w:rsid w:val="00E401AA"/>
    <w:rsid w:val="00E41DC2"/>
    <w:rsid w:val="00E4220E"/>
    <w:rsid w:val="00E4461E"/>
    <w:rsid w:val="00E46161"/>
    <w:rsid w:val="00E5106F"/>
    <w:rsid w:val="00E515C2"/>
    <w:rsid w:val="00E52D8D"/>
    <w:rsid w:val="00E53348"/>
    <w:rsid w:val="00E53E6E"/>
    <w:rsid w:val="00E54491"/>
    <w:rsid w:val="00E54B83"/>
    <w:rsid w:val="00E5568D"/>
    <w:rsid w:val="00E55FC8"/>
    <w:rsid w:val="00E56D09"/>
    <w:rsid w:val="00E61B7D"/>
    <w:rsid w:val="00E64D0F"/>
    <w:rsid w:val="00E65A36"/>
    <w:rsid w:val="00E66137"/>
    <w:rsid w:val="00E6720A"/>
    <w:rsid w:val="00E745A2"/>
    <w:rsid w:val="00E751E7"/>
    <w:rsid w:val="00E762C1"/>
    <w:rsid w:val="00E76B88"/>
    <w:rsid w:val="00E76D00"/>
    <w:rsid w:val="00E77A72"/>
    <w:rsid w:val="00E77D51"/>
    <w:rsid w:val="00E77EC7"/>
    <w:rsid w:val="00E81BA6"/>
    <w:rsid w:val="00E8269F"/>
    <w:rsid w:val="00E83F0B"/>
    <w:rsid w:val="00E844B0"/>
    <w:rsid w:val="00E8462A"/>
    <w:rsid w:val="00E85CDD"/>
    <w:rsid w:val="00E8624D"/>
    <w:rsid w:val="00E87976"/>
    <w:rsid w:val="00E91282"/>
    <w:rsid w:val="00E91389"/>
    <w:rsid w:val="00E95103"/>
    <w:rsid w:val="00E961C8"/>
    <w:rsid w:val="00E974E4"/>
    <w:rsid w:val="00EA029D"/>
    <w:rsid w:val="00EA3B9B"/>
    <w:rsid w:val="00EA4B6F"/>
    <w:rsid w:val="00EA681B"/>
    <w:rsid w:val="00EA7426"/>
    <w:rsid w:val="00EB15AF"/>
    <w:rsid w:val="00EB25B2"/>
    <w:rsid w:val="00EB3BA6"/>
    <w:rsid w:val="00EB4A56"/>
    <w:rsid w:val="00EB4EA8"/>
    <w:rsid w:val="00EB72F7"/>
    <w:rsid w:val="00EB7C5A"/>
    <w:rsid w:val="00EC035B"/>
    <w:rsid w:val="00EC1F59"/>
    <w:rsid w:val="00EC1FB4"/>
    <w:rsid w:val="00EC204A"/>
    <w:rsid w:val="00EC5A67"/>
    <w:rsid w:val="00EC5F5F"/>
    <w:rsid w:val="00EC7014"/>
    <w:rsid w:val="00ED0F16"/>
    <w:rsid w:val="00ED2AF9"/>
    <w:rsid w:val="00ED2BF3"/>
    <w:rsid w:val="00ED2EAC"/>
    <w:rsid w:val="00ED366D"/>
    <w:rsid w:val="00ED4379"/>
    <w:rsid w:val="00ED4CAC"/>
    <w:rsid w:val="00ED5214"/>
    <w:rsid w:val="00ED749E"/>
    <w:rsid w:val="00ED7828"/>
    <w:rsid w:val="00EE06F3"/>
    <w:rsid w:val="00EE06FC"/>
    <w:rsid w:val="00EE2253"/>
    <w:rsid w:val="00EE242D"/>
    <w:rsid w:val="00EE251F"/>
    <w:rsid w:val="00EE3854"/>
    <w:rsid w:val="00EE3AA9"/>
    <w:rsid w:val="00EE3BCB"/>
    <w:rsid w:val="00EE4B63"/>
    <w:rsid w:val="00EE5A1C"/>
    <w:rsid w:val="00EE7727"/>
    <w:rsid w:val="00EF0427"/>
    <w:rsid w:val="00EF13FD"/>
    <w:rsid w:val="00EF1A2A"/>
    <w:rsid w:val="00EF2567"/>
    <w:rsid w:val="00EF275D"/>
    <w:rsid w:val="00EF27A3"/>
    <w:rsid w:val="00EF397C"/>
    <w:rsid w:val="00EF4CA2"/>
    <w:rsid w:val="00EF50E7"/>
    <w:rsid w:val="00EF53E5"/>
    <w:rsid w:val="00EF547E"/>
    <w:rsid w:val="00EF5675"/>
    <w:rsid w:val="00EF57A7"/>
    <w:rsid w:val="00EF5F9F"/>
    <w:rsid w:val="00EF71D4"/>
    <w:rsid w:val="00EF7558"/>
    <w:rsid w:val="00F01A2B"/>
    <w:rsid w:val="00F03912"/>
    <w:rsid w:val="00F0425E"/>
    <w:rsid w:val="00F053CC"/>
    <w:rsid w:val="00F0548D"/>
    <w:rsid w:val="00F06CFF"/>
    <w:rsid w:val="00F074FB"/>
    <w:rsid w:val="00F10E38"/>
    <w:rsid w:val="00F10EC9"/>
    <w:rsid w:val="00F12852"/>
    <w:rsid w:val="00F13A2F"/>
    <w:rsid w:val="00F13CB0"/>
    <w:rsid w:val="00F14D28"/>
    <w:rsid w:val="00F167B8"/>
    <w:rsid w:val="00F16DC5"/>
    <w:rsid w:val="00F172AA"/>
    <w:rsid w:val="00F20314"/>
    <w:rsid w:val="00F2061E"/>
    <w:rsid w:val="00F20D7F"/>
    <w:rsid w:val="00F21039"/>
    <w:rsid w:val="00F223B9"/>
    <w:rsid w:val="00F2297A"/>
    <w:rsid w:val="00F2330D"/>
    <w:rsid w:val="00F236F5"/>
    <w:rsid w:val="00F26888"/>
    <w:rsid w:val="00F3077D"/>
    <w:rsid w:val="00F4115B"/>
    <w:rsid w:val="00F4252F"/>
    <w:rsid w:val="00F4289D"/>
    <w:rsid w:val="00F43523"/>
    <w:rsid w:val="00F4476B"/>
    <w:rsid w:val="00F4658A"/>
    <w:rsid w:val="00F50E11"/>
    <w:rsid w:val="00F51059"/>
    <w:rsid w:val="00F51116"/>
    <w:rsid w:val="00F51F18"/>
    <w:rsid w:val="00F52CED"/>
    <w:rsid w:val="00F5408C"/>
    <w:rsid w:val="00F54BB6"/>
    <w:rsid w:val="00F5509D"/>
    <w:rsid w:val="00F5720E"/>
    <w:rsid w:val="00F5776C"/>
    <w:rsid w:val="00F61080"/>
    <w:rsid w:val="00F63E42"/>
    <w:rsid w:val="00F643E4"/>
    <w:rsid w:val="00F66096"/>
    <w:rsid w:val="00F7040F"/>
    <w:rsid w:val="00F7063A"/>
    <w:rsid w:val="00F708D5"/>
    <w:rsid w:val="00F716D2"/>
    <w:rsid w:val="00F72A08"/>
    <w:rsid w:val="00F73272"/>
    <w:rsid w:val="00F7360D"/>
    <w:rsid w:val="00F7391B"/>
    <w:rsid w:val="00F75205"/>
    <w:rsid w:val="00F763DE"/>
    <w:rsid w:val="00F76526"/>
    <w:rsid w:val="00F772E2"/>
    <w:rsid w:val="00F77538"/>
    <w:rsid w:val="00F831D5"/>
    <w:rsid w:val="00F83B8B"/>
    <w:rsid w:val="00F83D20"/>
    <w:rsid w:val="00F83F11"/>
    <w:rsid w:val="00F8404C"/>
    <w:rsid w:val="00F8608F"/>
    <w:rsid w:val="00F86380"/>
    <w:rsid w:val="00F86CF6"/>
    <w:rsid w:val="00F87AB0"/>
    <w:rsid w:val="00F91154"/>
    <w:rsid w:val="00F91C13"/>
    <w:rsid w:val="00F91FC6"/>
    <w:rsid w:val="00F9240C"/>
    <w:rsid w:val="00F9737A"/>
    <w:rsid w:val="00FA0531"/>
    <w:rsid w:val="00FA39A3"/>
    <w:rsid w:val="00FA3C4E"/>
    <w:rsid w:val="00FA4E85"/>
    <w:rsid w:val="00FA5172"/>
    <w:rsid w:val="00FA7084"/>
    <w:rsid w:val="00FB0428"/>
    <w:rsid w:val="00FB1787"/>
    <w:rsid w:val="00FB32E8"/>
    <w:rsid w:val="00FB4485"/>
    <w:rsid w:val="00FB5BA0"/>
    <w:rsid w:val="00FB63E3"/>
    <w:rsid w:val="00FB74B3"/>
    <w:rsid w:val="00FB7614"/>
    <w:rsid w:val="00FC1D4E"/>
    <w:rsid w:val="00FC212D"/>
    <w:rsid w:val="00FC7322"/>
    <w:rsid w:val="00FD0259"/>
    <w:rsid w:val="00FD28B0"/>
    <w:rsid w:val="00FD31D7"/>
    <w:rsid w:val="00FD335A"/>
    <w:rsid w:val="00FD3E64"/>
    <w:rsid w:val="00FD4D61"/>
    <w:rsid w:val="00FD52FB"/>
    <w:rsid w:val="00FD6198"/>
    <w:rsid w:val="00FD6466"/>
    <w:rsid w:val="00FD748E"/>
    <w:rsid w:val="00FD753D"/>
    <w:rsid w:val="00FD76F9"/>
    <w:rsid w:val="00FD7B48"/>
    <w:rsid w:val="00FD7D0B"/>
    <w:rsid w:val="00FE16AC"/>
    <w:rsid w:val="00FE1717"/>
    <w:rsid w:val="00FE1E6E"/>
    <w:rsid w:val="00FE324B"/>
    <w:rsid w:val="00FE46EF"/>
    <w:rsid w:val="00FE49C3"/>
    <w:rsid w:val="00FE4EBC"/>
    <w:rsid w:val="00FE548B"/>
    <w:rsid w:val="00FE5525"/>
    <w:rsid w:val="00FE5865"/>
    <w:rsid w:val="00FE6A60"/>
    <w:rsid w:val="00FE7380"/>
    <w:rsid w:val="00FF1CAE"/>
    <w:rsid w:val="00FF1CDC"/>
    <w:rsid w:val="00FF283A"/>
    <w:rsid w:val="00FF30B5"/>
    <w:rsid w:val="00FF546B"/>
    <w:rsid w:val="00FF5D12"/>
    <w:rsid w:val="00FF6395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A8"/>
    <w:pPr>
      <w:spacing w:before="120"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08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160D"/>
    <w:pPr>
      <w:numPr>
        <w:ilvl w:val="4"/>
        <w:numId w:val="37"/>
      </w:numPr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6E3E"/>
    <w:pPr>
      <w:numPr>
        <w:ilvl w:val="5"/>
        <w:numId w:val="37"/>
      </w:numPr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C4A"/>
    <w:pPr>
      <w:numPr>
        <w:ilvl w:val="6"/>
        <w:numId w:val="37"/>
      </w:numPr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476"/>
    <w:pPr>
      <w:keepNext/>
      <w:keepLines/>
      <w:numPr>
        <w:ilvl w:val="7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6DC5"/>
    <w:pPr>
      <w:tabs>
        <w:tab w:val="center" w:pos="4320"/>
        <w:tab w:val="right" w:pos="864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6DC5"/>
    <w:rPr>
      <w:rFonts w:ascii="Cambria" w:hAnsi="Cambria"/>
      <w:sz w:val="18"/>
      <w:szCs w:val="24"/>
    </w:rPr>
  </w:style>
  <w:style w:type="paragraph" w:styleId="Header">
    <w:name w:val="header"/>
    <w:basedOn w:val="Normal"/>
    <w:link w:val="HeaderChar"/>
    <w:uiPriority w:val="99"/>
    <w:rsid w:val="004B33D4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33D4"/>
    <w:rPr>
      <w:rFonts w:ascii="Cambria" w:eastAsia="Times New Roman" w:hAnsi="Cambria" w:cs="Times New Roman"/>
      <w:sz w:val="18"/>
      <w:szCs w:val="18"/>
    </w:rPr>
  </w:style>
  <w:style w:type="paragraph" w:customStyle="1" w:styleId="StyleHeading9LatinCambria12ptNotItalic">
    <w:name w:val="Style Heading 9 + (Latin) Cambria 12 pt Not Italic"/>
    <w:basedOn w:val="Heading9"/>
    <w:next w:val="Normal"/>
    <w:rsid w:val="00A72476"/>
    <w:pPr>
      <w:keepNext w:val="0"/>
      <w:keepLines w:val="0"/>
      <w:numPr>
        <w:numId w:val="2"/>
      </w:numPr>
      <w:spacing w:line="240" w:lineRule="auto"/>
    </w:pPr>
    <w:rPr>
      <w:rFonts w:ascii="Cambria" w:hAnsi="Cambria"/>
      <w:i w:val="0"/>
      <w:iCs w:val="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H3Cambria">
    <w:name w:val="Style H3 + Cambria"/>
    <w:basedOn w:val="Normal"/>
    <w:rsid w:val="00F16DC5"/>
    <w:pPr>
      <w:keepNext/>
      <w:widowControl w:val="0"/>
      <w:numPr>
        <w:numId w:val="8"/>
      </w:numPr>
      <w:autoSpaceDE w:val="0"/>
      <w:autoSpaceDN w:val="0"/>
      <w:adjustRightInd w:val="0"/>
      <w:spacing w:after="60" w:line="240" w:lineRule="auto"/>
      <w:ind w:left="144" w:hanging="144"/>
      <w:outlineLvl w:val="0"/>
    </w:pPr>
    <w:rPr>
      <w:rFonts w:eastAsia="Times New Roman" w:cs="Times New Roman"/>
      <w:sz w:val="28"/>
      <w:szCs w:val="28"/>
    </w:rPr>
  </w:style>
  <w:style w:type="paragraph" w:customStyle="1" w:styleId="H2">
    <w:name w:val="H2"/>
    <w:basedOn w:val="Normal"/>
    <w:rsid w:val="00D20996"/>
    <w:pPr>
      <w:keepNext/>
      <w:numPr>
        <w:numId w:val="37"/>
      </w:numPr>
      <w:spacing w:line="240" w:lineRule="auto"/>
    </w:pPr>
    <w:rPr>
      <w:rFonts w:eastAsia="Times New Roman" w:cs="Times New Roman"/>
      <w:szCs w:val="24"/>
    </w:rPr>
  </w:style>
  <w:style w:type="paragraph" w:customStyle="1" w:styleId="H3">
    <w:name w:val="H3"/>
    <w:basedOn w:val="Heading1"/>
    <w:rsid w:val="00FB4485"/>
    <w:pPr>
      <w:keepLines w:val="0"/>
      <w:widowControl w:val="0"/>
      <w:numPr>
        <w:ilvl w:val="1"/>
        <w:numId w:val="37"/>
      </w:numPr>
      <w:autoSpaceDE w:val="0"/>
      <w:autoSpaceDN w:val="0"/>
      <w:adjustRightInd w:val="0"/>
      <w:spacing w:before="120" w:after="120" w:line="240" w:lineRule="auto"/>
      <w:outlineLvl w:val="1"/>
    </w:pPr>
    <w:rPr>
      <w:rFonts w:ascii="Cambria" w:eastAsia="Times New Roman" w:hAnsi="Cambria" w:cs="Times New Roman"/>
      <w:color w:val="auto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6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4">
    <w:name w:val="H4"/>
    <w:basedOn w:val="Normal"/>
    <w:qFormat/>
    <w:rsid w:val="00576075"/>
    <w:pPr>
      <w:numPr>
        <w:ilvl w:val="2"/>
        <w:numId w:val="37"/>
      </w:numPr>
      <w:spacing w:line="240" w:lineRule="auto"/>
      <w:outlineLvl w:val="2"/>
    </w:pPr>
    <w:rPr>
      <w:rFonts w:eastAsia="Times New Roman" w:cs="Times New Roman"/>
      <w:szCs w:val="24"/>
    </w:rPr>
  </w:style>
  <w:style w:type="paragraph" w:customStyle="1" w:styleId="H5">
    <w:name w:val="H5"/>
    <w:basedOn w:val="Normal"/>
    <w:rsid w:val="00A675F5"/>
    <w:pPr>
      <w:numPr>
        <w:ilvl w:val="3"/>
        <w:numId w:val="37"/>
      </w:numPr>
      <w:spacing w:line="240" w:lineRule="auto"/>
      <w:outlineLvl w:val="4"/>
    </w:pPr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F16DC5"/>
    <w:pPr>
      <w:keepNext/>
      <w:spacing w:after="0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3160D"/>
    <w:rPr>
      <w:rFonts w:ascii="Cambria" w:eastAsiaTheme="majorEastAsia" w:hAnsi="Cambria" w:cstheme="majorBidi"/>
      <w:color w:val="000000" w:themeColor="text1"/>
      <w:sz w:val="24"/>
    </w:rPr>
  </w:style>
  <w:style w:type="paragraph" w:customStyle="1" w:styleId="StyleMC-optionCambria10pt">
    <w:name w:val="Style MC-option + Cambria 10 pt"/>
    <w:basedOn w:val="Normal"/>
    <w:rsid w:val="0008783B"/>
    <w:pPr>
      <w:spacing w:before="0" w:after="0" w:line="240" w:lineRule="auto"/>
      <w:ind w:left="144" w:hanging="144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274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66E3E"/>
    <w:rPr>
      <w:rFonts w:ascii="Cambria" w:eastAsiaTheme="majorEastAsia" w:hAnsi="Cambria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84C4A"/>
    <w:rPr>
      <w:rFonts w:ascii="Cambria" w:eastAsiaTheme="majorEastAsia" w:hAnsi="Cambria" w:cstheme="majorBidi"/>
      <w:color w:val="272727" w:themeColor="text1" w:themeTint="D8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8E4D81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D1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D1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E16AC"/>
    <w:rPr>
      <w:b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90252"/>
    <w:rPr>
      <w:b w:val="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A8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A8"/>
    <w:rPr>
      <w:rFonts w:ascii="Cambria" w:hAnsi="Cambria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6313C9"/>
    <w:pPr>
      <w:spacing w:before="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13C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3C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DB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DBE"/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08F"/>
    <w:rPr>
      <w:rFonts w:ascii="Cambria" w:eastAsiaTheme="majorEastAsia" w:hAnsi="Cambria" w:cstheme="majorBidi"/>
      <w:b/>
      <w:bCs/>
      <w:color w:val="000000" w:themeColor="text1"/>
      <w:sz w:val="32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08F"/>
  </w:style>
  <w:style w:type="character" w:customStyle="1" w:styleId="apple-converted-space">
    <w:name w:val="apple-converted-space"/>
    <w:basedOn w:val="DefaultParagraphFont"/>
    <w:rsid w:val="0045008F"/>
  </w:style>
  <w:style w:type="paragraph" w:customStyle="1" w:styleId="reference">
    <w:name w:val="reference"/>
    <w:basedOn w:val="Normal"/>
    <w:rsid w:val="0045008F"/>
    <w:pPr>
      <w:keepLines/>
      <w:snapToGrid w:val="0"/>
      <w:spacing w:after="0" w:line="240" w:lineRule="auto"/>
      <w:ind w:left="144" w:hanging="144"/>
    </w:pPr>
    <w:rPr>
      <w:rFonts w:ascii="Times New Roman" w:eastAsia="Times New Roman" w:hAnsi="Times New Roman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A8"/>
    <w:pPr>
      <w:spacing w:before="120"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08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160D"/>
    <w:pPr>
      <w:numPr>
        <w:ilvl w:val="4"/>
        <w:numId w:val="37"/>
      </w:numPr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6E3E"/>
    <w:pPr>
      <w:numPr>
        <w:ilvl w:val="5"/>
        <w:numId w:val="37"/>
      </w:numPr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C4A"/>
    <w:pPr>
      <w:numPr>
        <w:ilvl w:val="6"/>
        <w:numId w:val="37"/>
      </w:numPr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476"/>
    <w:pPr>
      <w:keepNext/>
      <w:keepLines/>
      <w:numPr>
        <w:ilvl w:val="7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6DC5"/>
    <w:pPr>
      <w:tabs>
        <w:tab w:val="center" w:pos="4320"/>
        <w:tab w:val="right" w:pos="864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6DC5"/>
    <w:rPr>
      <w:rFonts w:ascii="Cambria" w:hAnsi="Cambria"/>
      <w:sz w:val="18"/>
      <w:szCs w:val="24"/>
    </w:rPr>
  </w:style>
  <w:style w:type="paragraph" w:styleId="Header">
    <w:name w:val="header"/>
    <w:basedOn w:val="Normal"/>
    <w:link w:val="HeaderChar"/>
    <w:uiPriority w:val="99"/>
    <w:rsid w:val="004B33D4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33D4"/>
    <w:rPr>
      <w:rFonts w:ascii="Cambria" w:eastAsia="Times New Roman" w:hAnsi="Cambria" w:cs="Times New Roman"/>
      <w:sz w:val="18"/>
      <w:szCs w:val="18"/>
    </w:rPr>
  </w:style>
  <w:style w:type="paragraph" w:customStyle="1" w:styleId="StyleHeading9LatinCambria12ptNotItalic">
    <w:name w:val="Style Heading 9 + (Latin) Cambria 12 pt Not Italic"/>
    <w:basedOn w:val="Heading9"/>
    <w:next w:val="Normal"/>
    <w:rsid w:val="00A72476"/>
    <w:pPr>
      <w:keepNext w:val="0"/>
      <w:keepLines w:val="0"/>
      <w:numPr>
        <w:numId w:val="2"/>
      </w:numPr>
      <w:spacing w:line="240" w:lineRule="auto"/>
    </w:pPr>
    <w:rPr>
      <w:rFonts w:ascii="Cambria" w:hAnsi="Cambria"/>
      <w:i w:val="0"/>
      <w:iCs w:val="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H3Cambria">
    <w:name w:val="Style H3 + Cambria"/>
    <w:basedOn w:val="Normal"/>
    <w:rsid w:val="00F16DC5"/>
    <w:pPr>
      <w:keepNext/>
      <w:widowControl w:val="0"/>
      <w:numPr>
        <w:numId w:val="8"/>
      </w:numPr>
      <w:autoSpaceDE w:val="0"/>
      <w:autoSpaceDN w:val="0"/>
      <w:adjustRightInd w:val="0"/>
      <w:spacing w:after="60" w:line="240" w:lineRule="auto"/>
      <w:ind w:left="144" w:hanging="144"/>
      <w:outlineLvl w:val="0"/>
    </w:pPr>
    <w:rPr>
      <w:rFonts w:eastAsia="Times New Roman" w:cs="Times New Roman"/>
      <w:sz w:val="28"/>
      <w:szCs w:val="28"/>
    </w:rPr>
  </w:style>
  <w:style w:type="paragraph" w:customStyle="1" w:styleId="H2">
    <w:name w:val="H2"/>
    <w:basedOn w:val="Normal"/>
    <w:rsid w:val="00D20996"/>
    <w:pPr>
      <w:keepNext/>
      <w:numPr>
        <w:numId w:val="37"/>
      </w:numPr>
      <w:spacing w:line="240" w:lineRule="auto"/>
    </w:pPr>
    <w:rPr>
      <w:rFonts w:eastAsia="Times New Roman" w:cs="Times New Roman"/>
      <w:szCs w:val="24"/>
    </w:rPr>
  </w:style>
  <w:style w:type="paragraph" w:customStyle="1" w:styleId="H3">
    <w:name w:val="H3"/>
    <w:basedOn w:val="Heading1"/>
    <w:rsid w:val="00FB4485"/>
    <w:pPr>
      <w:keepLines w:val="0"/>
      <w:widowControl w:val="0"/>
      <w:numPr>
        <w:ilvl w:val="1"/>
        <w:numId w:val="37"/>
      </w:numPr>
      <w:autoSpaceDE w:val="0"/>
      <w:autoSpaceDN w:val="0"/>
      <w:adjustRightInd w:val="0"/>
      <w:spacing w:before="120" w:after="120" w:line="240" w:lineRule="auto"/>
      <w:outlineLvl w:val="1"/>
    </w:pPr>
    <w:rPr>
      <w:rFonts w:ascii="Cambria" w:eastAsia="Times New Roman" w:hAnsi="Cambria" w:cs="Times New Roman"/>
      <w:color w:val="auto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6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4">
    <w:name w:val="H4"/>
    <w:basedOn w:val="Normal"/>
    <w:qFormat/>
    <w:rsid w:val="00576075"/>
    <w:pPr>
      <w:numPr>
        <w:ilvl w:val="2"/>
        <w:numId w:val="37"/>
      </w:numPr>
      <w:spacing w:line="240" w:lineRule="auto"/>
      <w:outlineLvl w:val="2"/>
    </w:pPr>
    <w:rPr>
      <w:rFonts w:eastAsia="Times New Roman" w:cs="Times New Roman"/>
      <w:szCs w:val="24"/>
    </w:rPr>
  </w:style>
  <w:style w:type="paragraph" w:customStyle="1" w:styleId="H5">
    <w:name w:val="H5"/>
    <w:basedOn w:val="Normal"/>
    <w:rsid w:val="00A675F5"/>
    <w:pPr>
      <w:numPr>
        <w:ilvl w:val="3"/>
        <w:numId w:val="37"/>
      </w:numPr>
      <w:spacing w:line="240" w:lineRule="auto"/>
      <w:outlineLvl w:val="4"/>
    </w:pPr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F16DC5"/>
    <w:pPr>
      <w:keepNext/>
      <w:spacing w:after="0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3160D"/>
    <w:rPr>
      <w:rFonts w:ascii="Cambria" w:eastAsiaTheme="majorEastAsia" w:hAnsi="Cambria" w:cstheme="majorBidi"/>
      <w:color w:val="000000" w:themeColor="text1"/>
      <w:sz w:val="24"/>
    </w:rPr>
  </w:style>
  <w:style w:type="paragraph" w:customStyle="1" w:styleId="StyleMC-optionCambria10pt">
    <w:name w:val="Style MC-option + Cambria 10 pt"/>
    <w:basedOn w:val="Normal"/>
    <w:rsid w:val="0008783B"/>
    <w:pPr>
      <w:spacing w:before="0" w:after="0" w:line="240" w:lineRule="auto"/>
      <w:ind w:left="144" w:hanging="144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274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66E3E"/>
    <w:rPr>
      <w:rFonts w:ascii="Cambria" w:eastAsiaTheme="majorEastAsia" w:hAnsi="Cambria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84C4A"/>
    <w:rPr>
      <w:rFonts w:ascii="Cambria" w:eastAsiaTheme="majorEastAsia" w:hAnsi="Cambria" w:cstheme="majorBidi"/>
      <w:color w:val="272727" w:themeColor="text1" w:themeTint="D8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8E4D81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D1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D1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E16AC"/>
    <w:rPr>
      <w:b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90252"/>
    <w:rPr>
      <w:b w:val="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A8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A8"/>
    <w:rPr>
      <w:rFonts w:ascii="Cambria" w:hAnsi="Cambria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6313C9"/>
    <w:pPr>
      <w:spacing w:before="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13C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3C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DB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DBE"/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08F"/>
    <w:rPr>
      <w:rFonts w:ascii="Cambria" w:eastAsiaTheme="majorEastAsia" w:hAnsi="Cambria" w:cstheme="majorBidi"/>
      <w:b/>
      <w:bCs/>
      <w:color w:val="000000" w:themeColor="text1"/>
      <w:sz w:val="32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08F"/>
  </w:style>
  <w:style w:type="character" w:customStyle="1" w:styleId="apple-converted-space">
    <w:name w:val="apple-converted-space"/>
    <w:basedOn w:val="DefaultParagraphFont"/>
    <w:rsid w:val="0045008F"/>
  </w:style>
  <w:style w:type="paragraph" w:customStyle="1" w:styleId="reference">
    <w:name w:val="reference"/>
    <w:basedOn w:val="Normal"/>
    <w:rsid w:val="0045008F"/>
    <w:pPr>
      <w:keepLines/>
      <w:snapToGrid w:val="0"/>
      <w:spacing w:after="0" w:line="240" w:lineRule="auto"/>
      <w:ind w:left="144" w:hanging="144"/>
    </w:pPr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web.lmu.edu/jdevine/dissertation/Dissertation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larrysummers.com/2013/12/15/why-stagnation-might-prove-to-be-the-new-normal/" TargetMode="External"/><Relationship Id="rId10" Type="http://schemas.openxmlformats.org/officeDocument/2006/relationships/hyperlink" Target="mailto:jdevine03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jdevine@lmu.edu" TargetMode="External"/><Relationship Id="rId14" Type="http://schemas.openxmlformats.org/officeDocument/2006/relationships/hyperlink" Target="http://papers.ssrn.com/sol3/papers.cfm?abstract_id=200145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A76F79CF094941B62524B9CECC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35F4-6D85-4636-98FC-87AC949B6147}"/>
      </w:docPartPr>
      <w:docPartBody>
        <w:p w:rsidR="00786CDB" w:rsidRDefault="007D126A">
          <w:r w:rsidRPr="00CC720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A"/>
    <w:rsid w:val="00027805"/>
    <w:rsid w:val="00030847"/>
    <w:rsid w:val="0004035F"/>
    <w:rsid w:val="0007025A"/>
    <w:rsid w:val="00075401"/>
    <w:rsid w:val="0008151B"/>
    <w:rsid w:val="000C0BDF"/>
    <w:rsid w:val="000D690D"/>
    <w:rsid w:val="000F3ED6"/>
    <w:rsid w:val="001548D0"/>
    <w:rsid w:val="001873E1"/>
    <w:rsid w:val="001A561D"/>
    <w:rsid w:val="001B0FAD"/>
    <w:rsid w:val="001D640A"/>
    <w:rsid w:val="0021061C"/>
    <w:rsid w:val="00255ACB"/>
    <w:rsid w:val="0028516F"/>
    <w:rsid w:val="002B0A37"/>
    <w:rsid w:val="002D059E"/>
    <w:rsid w:val="002D05CF"/>
    <w:rsid w:val="002D3732"/>
    <w:rsid w:val="00313761"/>
    <w:rsid w:val="0035055C"/>
    <w:rsid w:val="00370BE2"/>
    <w:rsid w:val="003B480F"/>
    <w:rsid w:val="003C32BF"/>
    <w:rsid w:val="00416674"/>
    <w:rsid w:val="00452E63"/>
    <w:rsid w:val="0046459E"/>
    <w:rsid w:val="0047278C"/>
    <w:rsid w:val="004A7A91"/>
    <w:rsid w:val="004C35AC"/>
    <w:rsid w:val="004D2890"/>
    <w:rsid w:val="004D4925"/>
    <w:rsid w:val="00507B91"/>
    <w:rsid w:val="00542389"/>
    <w:rsid w:val="00572F6B"/>
    <w:rsid w:val="005B284A"/>
    <w:rsid w:val="005C7A1F"/>
    <w:rsid w:val="005D0DC5"/>
    <w:rsid w:val="00612391"/>
    <w:rsid w:val="00621173"/>
    <w:rsid w:val="00643D98"/>
    <w:rsid w:val="00647737"/>
    <w:rsid w:val="0065185A"/>
    <w:rsid w:val="00653ED2"/>
    <w:rsid w:val="00667E7B"/>
    <w:rsid w:val="00686C70"/>
    <w:rsid w:val="006B74E7"/>
    <w:rsid w:val="006D3948"/>
    <w:rsid w:val="006F146D"/>
    <w:rsid w:val="0072145F"/>
    <w:rsid w:val="0076279C"/>
    <w:rsid w:val="007643B3"/>
    <w:rsid w:val="00773418"/>
    <w:rsid w:val="007814B9"/>
    <w:rsid w:val="00786CDB"/>
    <w:rsid w:val="007D126A"/>
    <w:rsid w:val="007D4EDE"/>
    <w:rsid w:val="00805627"/>
    <w:rsid w:val="0081477B"/>
    <w:rsid w:val="00840963"/>
    <w:rsid w:val="008821B4"/>
    <w:rsid w:val="008B30EA"/>
    <w:rsid w:val="008B684E"/>
    <w:rsid w:val="008C74AD"/>
    <w:rsid w:val="008E124A"/>
    <w:rsid w:val="008E2B79"/>
    <w:rsid w:val="00900894"/>
    <w:rsid w:val="009178CA"/>
    <w:rsid w:val="00930747"/>
    <w:rsid w:val="00957C02"/>
    <w:rsid w:val="00981055"/>
    <w:rsid w:val="009F4104"/>
    <w:rsid w:val="00A2224B"/>
    <w:rsid w:val="00A41864"/>
    <w:rsid w:val="00A5342D"/>
    <w:rsid w:val="00A70704"/>
    <w:rsid w:val="00A73702"/>
    <w:rsid w:val="00A74BA2"/>
    <w:rsid w:val="00A75FFD"/>
    <w:rsid w:val="00AB7FED"/>
    <w:rsid w:val="00AC5126"/>
    <w:rsid w:val="00B04ADE"/>
    <w:rsid w:val="00B42390"/>
    <w:rsid w:val="00B674F4"/>
    <w:rsid w:val="00BF5343"/>
    <w:rsid w:val="00C500E8"/>
    <w:rsid w:val="00C660E4"/>
    <w:rsid w:val="00C73445"/>
    <w:rsid w:val="00CB5F0D"/>
    <w:rsid w:val="00CD7CC8"/>
    <w:rsid w:val="00D24E9C"/>
    <w:rsid w:val="00DA6E40"/>
    <w:rsid w:val="00DD5445"/>
    <w:rsid w:val="00DF01EF"/>
    <w:rsid w:val="00E03256"/>
    <w:rsid w:val="00E23C76"/>
    <w:rsid w:val="00E30688"/>
    <w:rsid w:val="00E47B73"/>
    <w:rsid w:val="00ED6B9F"/>
    <w:rsid w:val="00F0352B"/>
    <w:rsid w:val="00F20720"/>
    <w:rsid w:val="00F3586F"/>
    <w:rsid w:val="00F412EF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BE0C2D83D41409AEF84822866F2E0">
    <w:name w:val="986BE0C2D83D41409AEF84822866F2E0"/>
    <w:rsid w:val="007D126A"/>
  </w:style>
  <w:style w:type="character" w:styleId="PlaceholderText">
    <w:name w:val="Placeholder Text"/>
    <w:basedOn w:val="DefaultParagraphFont"/>
    <w:uiPriority w:val="99"/>
    <w:semiHidden/>
    <w:rsid w:val="008B68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BE0C2D83D41409AEF84822866F2E0">
    <w:name w:val="986BE0C2D83D41409AEF84822866F2E0"/>
    <w:rsid w:val="007D126A"/>
  </w:style>
  <w:style w:type="character" w:styleId="PlaceholderText">
    <w:name w:val="Placeholder Text"/>
    <w:basedOn w:val="DefaultParagraphFont"/>
    <w:uiPriority w:val="99"/>
    <w:semiHidden/>
    <w:rsid w:val="008B6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6DD4-6D7F-4E79-BE43-DF8B961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19</Pages>
  <Words>7491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Devine</dc:creator>
  <cp:lastModifiedBy>James G. Devine</cp:lastModifiedBy>
  <cp:revision>149</cp:revision>
  <cp:lastPrinted>2015-03-19T21:41:00Z</cp:lastPrinted>
  <dcterms:created xsi:type="dcterms:W3CDTF">2015-03-17T17:37:00Z</dcterms:created>
  <dcterms:modified xsi:type="dcterms:W3CDTF">2015-03-19T21:44:00Z</dcterms:modified>
</cp:coreProperties>
</file>